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B3A72" w14:textId="77777777" w:rsidR="003C6952" w:rsidRPr="00C45933" w:rsidRDefault="003C6952" w:rsidP="00293A60">
      <w:pPr>
        <w:jc w:val="center"/>
        <w:rPr>
          <w:color w:val="73908F" w:themeColor="accent6"/>
          <w:sz w:val="36"/>
          <w:szCs w:val="36"/>
        </w:rPr>
      </w:pPr>
      <w:r w:rsidRPr="00C45933">
        <w:rPr>
          <w:color w:val="73908F" w:themeColor="accent6"/>
          <w:sz w:val="36"/>
          <w:szCs w:val="36"/>
        </w:rPr>
        <w:t>A GACD Implementation Science e-Hub Case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908F" w:themeFill="accent6"/>
        <w:tblLook w:val="04A0" w:firstRow="1" w:lastRow="0" w:firstColumn="1" w:lastColumn="0" w:noHBand="0" w:noVBand="1"/>
      </w:tblPr>
      <w:tblGrid>
        <w:gridCol w:w="9628"/>
      </w:tblGrid>
      <w:tr w:rsidR="003C6952" w:rsidRPr="00F42EC1" w14:paraId="2C063C62" w14:textId="77777777" w:rsidTr="00794DF4">
        <w:tc>
          <w:tcPr>
            <w:tcW w:w="9628" w:type="dxa"/>
            <w:shd w:val="clear" w:color="auto" w:fill="73908F" w:themeFill="accent6"/>
          </w:tcPr>
          <w:p w14:paraId="27CE2FA3" w14:textId="6F393CC3" w:rsidR="003C6952" w:rsidRPr="00F42EC1" w:rsidRDefault="00080230" w:rsidP="00293A60">
            <w:pPr>
              <w:spacing w:after="0"/>
              <w:jc w:val="center"/>
              <w:rPr>
                <w:b/>
                <w:bCs/>
                <w:color w:val="FFFFFF" w:themeColor="background1"/>
                <w:sz w:val="56"/>
                <w:szCs w:val="56"/>
              </w:rPr>
            </w:pPr>
            <w:r w:rsidRPr="00080230">
              <w:rPr>
                <w:b/>
                <w:bCs/>
                <w:color w:val="FFFFFF" w:themeColor="background1"/>
                <w:sz w:val="56"/>
                <w:szCs w:val="56"/>
              </w:rPr>
              <w:t>ICAN QUIT in Pregnancy: Culturally Responsive Smoking Cessation for Indigenous Australian Women</w:t>
            </w:r>
          </w:p>
        </w:tc>
      </w:tr>
    </w:tbl>
    <w:p w14:paraId="06474FFA" w14:textId="77777777" w:rsidR="003C6952" w:rsidRDefault="003C6952" w:rsidP="00B43603">
      <w:pPr>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C6952" w:rsidRPr="00F42EC1" w14:paraId="7025DD93" w14:textId="77777777" w:rsidTr="00794DF4">
        <w:tc>
          <w:tcPr>
            <w:tcW w:w="9628" w:type="dxa"/>
            <w:shd w:val="clear" w:color="auto" w:fill="73908F" w:themeFill="accent6"/>
          </w:tcPr>
          <w:p w14:paraId="78D3CB29" w14:textId="77777777" w:rsidR="003C6952" w:rsidRPr="00F42EC1" w:rsidRDefault="003C6952" w:rsidP="00293A60">
            <w:pPr>
              <w:spacing w:after="0"/>
              <w:jc w:val="center"/>
              <w:rPr>
                <w:color w:val="FFFFFF" w:themeColor="background1"/>
                <w:sz w:val="20"/>
                <w:szCs w:val="20"/>
              </w:rPr>
            </w:pPr>
            <w:r w:rsidRPr="00F42EC1">
              <w:rPr>
                <w:color w:val="FFFFFF" w:themeColor="background1"/>
                <w:sz w:val="20"/>
                <w:szCs w:val="20"/>
              </w:rPr>
              <w:t>This case study was developed based on the work of</w:t>
            </w:r>
          </w:p>
        </w:tc>
      </w:tr>
      <w:tr w:rsidR="003C6952" w14:paraId="0EB41D18" w14:textId="77777777" w:rsidTr="00B6524A">
        <w:trPr>
          <w:trHeight w:val="85"/>
        </w:trPr>
        <w:tc>
          <w:tcPr>
            <w:tcW w:w="9628" w:type="dxa"/>
            <w:shd w:val="clear" w:color="auto" w:fill="E2E8E8" w:themeFill="accent6" w:themeFillTint="33"/>
          </w:tcPr>
          <w:p w14:paraId="77B25001" w14:textId="7CD461B2" w:rsidR="003C6952" w:rsidRPr="000313BF" w:rsidRDefault="006B39BD" w:rsidP="00293A60">
            <w:pPr>
              <w:spacing w:after="0"/>
              <w:jc w:val="center"/>
              <w:rPr>
                <w:i/>
                <w:iCs/>
                <w:sz w:val="20"/>
                <w:szCs w:val="20"/>
              </w:rPr>
            </w:pPr>
            <w:r w:rsidRPr="006B39BD">
              <w:rPr>
                <w:i/>
                <w:iCs/>
                <w:sz w:val="20"/>
                <w:szCs w:val="20"/>
              </w:rPr>
              <w:t>ICAN QUIT in Pregnancy (Indigenous Counselling and Nicotine) pilot study.</w:t>
            </w:r>
          </w:p>
        </w:tc>
      </w:tr>
    </w:tbl>
    <w:p w14:paraId="2ECCD665" w14:textId="77777777" w:rsidR="003C6952" w:rsidRDefault="003C6952" w:rsidP="00293A60">
      <w:pPr>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C6952" w:rsidRPr="00F42EC1" w14:paraId="3CC27962" w14:textId="77777777" w:rsidTr="00794DF4">
        <w:tc>
          <w:tcPr>
            <w:tcW w:w="9628" w:type="dxa"/>
            <w:shd w:val="clear" w:color="auto" w:fill="73908F" w:themeFill="accent6"/>
          </w:tcPr>
          <w:p w14:paraId="0349AEC5" w14:textId="77777777" w:rsidR="003C6952" w:rsidRPr="00F42EC1" w:rsidRDefault="003C6952" w:rsidP="00293A60">
            <w:pPr>
              <w:spacing w:after="0"/>
              <w:jc w:val="center"/>
              <w:rPr>
                <w:color w:val="FFFFFF" w:themeColor="background1"/>
                <w:sz w:val="20"/>
                <w:szCs w:val="20"/>
              </w:rPr>
            </w:pPr>
            <w:r w:rsidRPr="00F42EC1">
              <w:rPr>
                <w:color w:val="FFFFFF" w:themeColor="background1"/>
                <w:sz w:val="20"/>
                <w:szCs w:val="20"/>
              </w:rPr>
              <w:t>Project team members</w:t>
            </w:r>
          </w:p>
        </w:tc>
      </w:tr>
      <w:tr w:rsidR="003C6952" w14:paraId="18A3076E" w14:textId="77777777" w:rsidTr="00794DF4">
        <w:tc>
          <w:tcPr>
            <w:tcW w:w="9628" w:type="dxa"/>
            <w:shd w:val="clear" w:color="auto" w:fill="E2E8E8" w:themeFill="accent6" w:themeFillTint="33"/>
          </w:tcPr>
          <w:p w14:paraId="0BB778D4" w14:textId="12C39929" w:rsidR="003C6952" w:rsidRPr="000313BF" w:rsidRDefault="006B39BD" w:rsidP="00293A60">
            <w:pPr>
              <w:shd w:val="clear" w:color="auto" w:fill="E2E8E8" w:themeFill="accent6" w:themeFillTint="33"/>
              <w:spacing w:after="0"/>
              <w:jc w:val="center"/>
              <w:rPr>
                <w:i/>
                <w:iCs/>
                <w:sz w:val="20"/>
                <w:szCs w:val="20"/>
              </w:rPr>
            </w:pPr>
            <w:r w:rsidRPr="006B39BD">
              <w:rPr>
                <w:i/>
                <w:iCs/>
                <w:sz w:val="20"/>
                <w:szCs w:val="20"/>
              </w:rPr>
              <w:t>Gillian S. Gould, Yael Bar-Zeev, Michelle Bovill, Billie Bonevski, Maree Gruppetta, and the ICAN QUIT in Pregnancy Pilot Group.</w:t>
            </w:r>
          </w:p>
        </w:tc>
      </w:tr>
    </w:tbl>
    <w:p w14:paraId="4160B318" w14:textId="77777777" w:rsidR="003C6952" w:rsidRPr="00650EAE" w:rsidRDefault="003C6952" w:rsidP="00B43603">
      <w:pPr>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61B3D" w:rsidRPr="00F42EC1" w14:paraId="3801E949" w14:textId="77777777" w:rsidTr="00CB06FC">
        <w:tc>
          <w:tcPr>
            <w:tcW w:w="9628" w:type="dxa"/>
            <w:shd w:val="clear" w:color="auto" w:fill="73908F" w:themeFill="accent6"/>
          </w:tcPr>
          <w:p w14:paraId="1A2C7E9C" w14:textId="102D774E" w:rsidR="00361B3D" w:rsidRPr="00F42EC1" w:rsidRDefault="00361B3D" w:rsidP="00CB06FC">
            <w:pPr>
              <w:spacing w:after="0"/>
              <w:jc w:val="center"/>
              <w:rPr>
                <w:color w:val="FFFFFF" w:themeColor="background1"/>
                <w:sz w:val="20"/>
                <w:szCs w:val="20"/>
              </w:rPr>
            </w:pPr>
          </w:p>
        </w:tc>
      </w:tr>
      <w:tr w:rsidR="00361B3D" w:rsidRPr="000313BF" w14:paraId="314070A0" w14:textId="77777777" w:rsidTr="00CB06FC">
        <w:tc>
          <w:tcPr>
            <w:tcW w:w="9628" w:type="dxa"/>
            <w:shd w:val="clear" w:color="auto" w:fill="E2E8E8" w:themeFill="accent6" w:themeFillTint="33"/>
          </w:tcPr>
          <w:p w14:paraId="090E8567" w14:textId="77777777" w:rsidR="00361B3D" w:rsidRDefault="00361B3D" w:rsidP="00CB06FC">
            <w:pPr>
              <w:shd w:val="clear" w:color="auto" w:fill="E2E8E8" w:themeFill="accent6" w:themeFillTint="33"/>
              <w:spacing w:after="0"/>
              <w:jc w:val="center"/>
            </w:pPr>
          </w:p>
          <w:p w14:paraId="76027145" w14:textId="4952D051" w:rsidR="00361B3D" w:rsidRDefault="00361B3D" w:rsidP="00CB06FC">
            <w:pPr>
              <w:shd w:val="clear" w:color="auto" w:fill="E2E8E8" w:themeFill="accent6" w:themeFillTint="33"/>
              <w:spacing w:after="0"/>
              <w:jc w:val="center"/>
            </w:pPr>
            <w:r>
              <w:fldChar w:fldCharType="begin"/>
            </w:r>
            <w:r>
              <w:instrText xml:space="preserve"> INCLUDEPICTURE "https://media.springernature.com/full/springer-static/image/art%3A10.1186%2Fs13012-017-0645-1/MediaObjects/13012_2017_645_Fig3_HTML.gif" \* MERGEFORMATINET </w:instrText>
            </w:r>
            <w:r>
              <w:fldChar w:fldCharType="separate"/>
            </w:r>
            <w:r>
              <w:rPr>
                <w:noProof/>
              </w:rPr>
              <w:drawing>
                <wp:inline distT="0" distB="0" distL="0" distR="0" wp14:anchorId="368C11AA" wp14:editId="14FAACE2">
                  <wp:extent cx="3620884" cy="2330971"/>
                  <wp:effectExtent l="0" t="0" r="0" b="6350"/>
                  <wp:docPr id="1225538701" name="Picture 1" descr="Fi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8924" cy="2361897"/>
                          </a:xfrm>
                          <a:prstGeom prst="rect">
                            <a:avLst/>
                          </a:prstGeom>
                          <a:noFill/>
                          <a:ln>
                            <a:noFill/>
                          </a:ln>
                        </pic:spPr>
                      </pic:pic>
                    </a:graphicData>
                  </a:graphic>
                </wp:inline>
              </w:drawing>
            </w:r>
            <w:r>
              <w:fldChar w:fldCharType="end"/>
            </w:r>
          </w:p>
          <w:p w14:paraId="2F673CBF" w14:textId="77777777" w:rsidR="00361B3D" w:rsidRDefault="00361B3D" w:rsidP="00CB06FC">
            <w:pPr>
              <w:shd w:val="clear" w:color="auto" w:fill="E2E8E8" w:themeFill="accent6" w:themeFillTint="33"/>
              <w:spacing w:after="0"/>
              <w:jc w:val="center"/>
            </w:pPr>
          </w:p>
          <w:p w14:paraId="30F737D0" w14:textId="77777777" w:rsidR="00361B3D" w:rsidRPr="00361B3D" w:rsidRDefault="00361B3D" w:rsidP="00CB06FC">
            <w:pPr>
              <w:shd w:val="clear" w:color="auto" w:fill="E2E8E8" w:themeFill="accent6" w:themeFillTint="33"/>
              <w:spacing w:after="0"/>
              <w:jc w:val="center"/>
              <w:rPr>
                <w:i/>
                <w:iCs/>
                <w:sz w:val="20"/>
                <w:szCs w:val="20"/>
              </w:rPr>
            </w:pPr>
            <w:r w:rsidRPr="00361B3D">
              <w:rPr>
                <w:i/>
                <w:iCs/>
                <w:sz w:val="20"/>
                <w:szCs w:val="20"/>
              </w:rPr>
              <w:t xml:space="preserve">Fig. 3 Approaches to improve smoking cessation among pregnant Indigenous women. </w:t>
            </w:r>
          </w:p>
          <w:p w14:paraId="3C5F5B5A" w14:textId="5FE6B694" w:rsidR="00361B3D" w:rsidRPr="00361B3D" w:rsidRDefault="00361B3D" w:rsidP="00CB06FC">
            <w:pPr>
              <w:shd w:val="clear" w:color="auto" w:fill="E2E8E8" w:themeFill="accent6" w:themeFillTint="33"/>
              <w:spacing w:after="0"/>
              <w:jc w:val="center"/>
              <w:rPr>
                <w:i/>
                <w:iCs/>
                <w:sz w:val="20"/>
                <w:szCs w:val="20"/>
              </w:rPr>
            </w:pPr>
            <w:r w:rsidRPr="00361B3D">
              <w:rPr>
                <w:sz w:val="20"/>
                <w:szCs w:val="20"/>
              </w:rPr>
              <w:t>From</w:t>
            </w:r>
            <w:r w:rsidRPr="00361B3D">
              <w:rPr>
                <w:i/>
                <w:iCs/>
                <w:sz w:val="20"/>
                <w:szCs w:val="20"/>
              </w:rPr>
              <w:t xml:space="preserve"> </w:t>
            </w:r>
            <w:r w:rsidRPr="00361B3D">
              <w:rPr>
                <w:sz w:val="20"/>
                <w:szCs w:val="20"/>
              </w:rPr>
              <w:t>“Designing an implementation intervention with the Behaviour Change Wheel for health provider smoking cessation care for Australian Indigenous pregnant women” by S. Gould et al. Implementation Sci 12, 114 (2017). https://doi.org/10.1186/s13012-017-0645-1</w:t>
            </w:r>
          </w:p>
        </w:tc>
      </w:tr>
    </w:tbl>
    <w:p w14:paraId="7D53462C" w14:textId="77777777" w:rsidR="006711C1" w:rsidRDefault="006711C1" w:rsidP="00B43603">
      <w:pPr>
        <w:jc w:val="both"/>
      </w:pPr>
    </w:p>
    <w:p w14:paraId="4B27F761" w14:textId="67C73EFD" w:rsidR="00361B3D" w:rsidRPr="00361B3D" w:rsidRDefault="00361B3D" w:rsidP="00361B3D"/>
    <w:p w14:paraId="51C41330" w14:textId="4AEFDF7D" w:rsidR="00361B3D" w:rsidRPr="00361B3D" w:rsidRDefault="00361B3D" w:rsidP="00361B3D"/>
    <w:p w14:paraId="1B23FDEF" w14:textId="1B5947E6" w:rsidR="00D6679A" w:rsidRDefault="006711C1" w:rsidP="00361B3D">
      <w:pPr>
        <w:pStyle w:val="GACD-Heading2"/>
        <w:jc w:val="left"/>
      </w:pPr>
      <w:r>
        <w:br w:type="page"/>
      </w:r>
      <w:r w:rsidR="00B43603" w:rsidRPr="00293A60">
        <w:lastRenderedPageBreak/>
        <w:t>Case study summary</w:t>
      </w:r>
    </w:p>
    <w:p w14:paraId="57A80BDC" w14:textId="5BD6B29A" w:rsidR="006B39BD" w:rsidRPr="006B39BD" w:rsidRDefault="006B39BD" w:rsidP="006B39BD">
      <w:pPr>
        <w:pStyle w:val="GACD-Heading2"/>
        <w:pBdr>
          <w:bottom w:val="single" w:sz="18" w:space="4" w:color="FF874F" w:themeColor="accent1"/>
        </w:pBdr>
        <w:rPr>
          <w:rFonts w:eastAsia="SimSun" w:cstheme="minorBidi"/>
          <w:b w:val="0"/>
          <w:color w:val="auto"/>
          <w:sz w:val="22"/>
          <w:szCs w:val="22"/>
        </w:rPr>
      </w:pPr>
      <w:r w:rsidRPr="006B39BD">
        <w:rPr>
          <w:rFonts w:eastAsia="SimSun" w:cstheme="minorBidi"/>
          <w:b w:val="0"/>
          <w:color w:val="auto"/>
          <w:sz w:val="22"/>
          <w:szCs w:val="22"/>
        </w:rPr>
        <w:t>The ICAN QUIT in Pregnancy initiative addressed the high prevalence of smoking among Aboriginal and Torres Strait Islander pregnant women in Australia through a multi-component implementation intervention. Recognising that standard smoking cessation care (SCC) was often culturally unresponsive or inconsistently delivered, this programme targeted health providers (HPs) at Aboriginal Medical Services (AMS). The intervention utilised the Behaviour Change Wheel (BCW) to design a system that included webinar-based training for providers, culturally specific educational resources for patients, and the provision of free oral Nicotine Replacement Therapy (NRT).</w:t>
      </w:r>
    </w:p>
    <w:p w14:paraId="7E28D18B" w14:textId="37C1353A" w:rsidR="006B39BD" w:rsidRDefault="006B39BD" w:rsidP="006B39BD">
      <w:pPr>
        <w:pStyle w:val="GACD-Heading2"/>
        <w:pBdr>
          <w:bottom w:val="single" w:sz="18" w:space="4" w:color="FF874F" w:themeColor="accent1"/>
        </w:pBdr>
      </w:pPr>
      <w:r w:rsidRPr="006B39BD">
        <w:rPr>
          <w:rFonts w:eastAsia="SimSun" w:cstheme="minorBidi"/>
          <w:b w:val="0"/>
          <w:color w:val="auto"/>
          <w:sz w:val="22"/>
          <w:szCs w:val="22"/>
        </w:rPr>
        <w:t xml:space="preserve">The </w:t>
      </w:r>
      <w:hyperlink r:id="rId11" w:history="1">
        <w:r w:rsidRPr="00361B3D">
          <w:rPr>
            <w:rStyle w:val="Hyperlink"/>
            <w:rFonts w:eastAsia="SimSun" w:cstheme="minorBidi"/>
            <w:b w:val="0"/>
            <w:sz w:val="22"/>
            <w:szCs w:val="22"/>
          </w:rPr>
          <w:t>step-wedge cluster randomised pilot trial</w:t>
        </w:r>
      </w:hyperlink>
      <w:r w:rsidRPr="006B39BD">
        <w:rPr>
          <w:rFonts w:eastAsia="SimSun" w:cstheme="minorBidi"/>
          <w:b w:val="0"/>
          <w:color w:val="auto"/>
          <w:sz w:val="22"/>
          <w:szCs w:val="22"/>
        </w:rPr>
        <w:t xml:space="preserve"> across six AMSs demonstrated that the intervention was feasible and acceptable. It succeeded in improving health providers' knowledge and attitudes towards NRT and resulted in a validated smoking cessation rate of 13.6% among participants at 12 weeks. The project highlights the necessity of co-design and culturally tailored implementation strategies to close the health gap in Indigenous communities.</w:t>
      </w:r>
    </w:p>
    <w:p w14:paraId="2871A7A0" w14:textId="1DC2E024" w:rsidR="006B39BD" w:rsidRPr="003F1EFE" w:rsidRDefault="00293A60" w:rsidP="003F1EFE">
      <w:pPr>
        <w:pStyle w:val="GACD-Heading2"/>
        <w:pBdr>
          <w:bottom w:val="single" w:sz="18" w:space="4" w:color="FF874F" w:themeColor="accent1"/>
        </w:pBdr>
        <w:rPr>
          <w:rStyle w:val="Strong"/>
          <w:b/>
          <w:bCs w:val="0"/>
        </w:rPr>
      </w:pPr>
      <w:r>
        <w:rPr>
          <w:noProof/>
        </w:rPr>
        <w:drawing>
          <wp:anchor distT="0" distB="0" distL="114300" distR="114300" simplePos="0" relativeHeight="251661312" behindDoc="0" locked="0" layoutInCell="1" allowOverlap="1" wp14:anchorId="05EAE426" wp14:editId="3BF01BD9">
            <wp:simplePos x="0" y="0"/>
            <wp:positionH relativeFrom="column">
              <wp:posOffset>-60960</wp:posOffset>
            </wp:positionH>
            <wp:positionV relativeFrom="paragraph">
              <wp:posOffset>5080</wp:posOffset>
            </wp:positionV>
            <wp:extent cx="287655" cy="287655"/>
            <wp:effectExtent l="0" t="0" r="0" b="0"/>
            <wp:wrapSquare wrapText="bothSides"/>
            <wp:docPr id="12" name="Graphic 12"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agnifying glass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293A60">
        <w:t>Identification and characterisation of implementation issues</w:t>
      </w:r>
    </w:p>
    <w:p w14:paraId="36DD5310" w14:textId="7202EFCB" w:rsidR="006B39BD" w:rsidRPr="003F1EFE" w:rsidRDefault="004B49AC" w:rsidP="003F1EFE">
      <w:pPr>
        <w:rPr>
          <w:rStyle w:val="Strong"/>
          <w:rFonts w:eastAsia="Times New Roman" w:cstheme="minorHAnsi"/>
          <w:b w:val="0"/>
          <w:bCs w:val="0"/>
          <w:lang w:eastAsia="zh-CN"/>
        </w:rPr>
      </w:pPr>
      <w:r w:rsidRPr="00361B3D">
        <w:rPr>
          <w:rStyle w:val="Strong"/>
          <w:rFonts w:eastAsia="Times New Roman" w:cstheme="minorHAnsi"/>
          <w:lang w:eastAsia="zh-CN"/>
        </w:rPr>
        <w:t xml:space="preserve">Healthcare challenge: </w:t>
      </w:r>
      <w:r w:rsidR="006B39BD" w:rsidRPr="003F1EFE">
        <w:rPr>
          <w:rStyle w:val="Strong"/>
          <w:rFonts w:eastAsia="Times New Roman" w:cstheme="minorHAnsi"/>
          <w:b w:val="0"/>
          <w:bCs w:val="0"/>
          <w:lang w:eastAsia="zh-CN"/>
        </w:rPr>
        <w:t xml:space="preserve">Smoking during pregnancy is the most modifiable risk factor </w:t>
      </w:r>
      <w:r w:rsidR="00361B3D">
        <w:rPr>
          <w:rStyle w:val="Strong"/>
          <w:rFonts w:eastAsia="Times New Roman" w:cstheme="minorHAnsi"/>
          <w:b w:val="0"/>
          <w:bCs w:val="0"/>
          <w:lang w:eastAsia="zh-CN"/>
        </w:rPr>
        <w:t>to improve</w:t>
      </w:r>
      <w:r w:rsidR="006B39BD" w:rsidRPr="003F1EFE">
        <w:rPr>
          <w:rStyle w:val="Strong"/>
          <w:rFonts w:eastAsia="Times New Roman" w:cstheme="minorHAnsi"/>
          <w:b w:val="0"/>
          <w:bCs w:val="0"/>
          <w:lang w:eastAsia="zh-CN"/>
        </w:rPr>
        <w:t xml:space="preserve"> maternal and infant health outcomes. In Australia, a significant health gap exists: the prevalence of smoking among pregnant Indigenous women was approximately 45% (2014 data), compared to 12% among non-Indigenous women.</w:t>
      </w:r>
    </w:p>
    <w:p w14:paraId="192B30F2" w14:textId="6B99C206" w:rsidR="006B39BD" w:rsidRPr="003F1EFE" w:rsidRDefault="006B39BD" w:rsidP="003F1EFE">
      <w:pPr>
        <w:rPr>
          <w:rStyle w:val="Strong"/>
          <w:rFonts w:eastAsia="Times New Roman" w:cstheme="minorHAnsi"/>
          <w:b w:val="0"/>
          <w:bCs w:val="0"/>
          <w:lang w:eastAsia="zh-CN"/>
        </w:rPr>
      </w:pPr>
      <w:r w:rsidRPr="00361B3D">
        <w:rPr>
          <w:rStyle w:val="Strong"/>
          <w:rFonts w:eastAsia="Times New Roman" w:cstheme="minorHAnsi"/>
          <w:lang w:eastAsia="zh-CN"/>
        </w:rPr>
        <w:t>Systemic issues:</w:t>
      </w:r>
      <w:r w:rsidRPr="003F1EFE">
        <w:rPr>
          <w:rStyle w:val="Strong"/>
          <w:rFonts w:eastAsia="Times New Roman" w:cstheme="minorHAnsi"/>
          <w:b w:val="0"/>
          <w:bCs w:val="0"/>
          <w:lang w:eastAsia="zh-CN"/>
        </w:rPr>
        <w:t xml:space="preserve"> Impediments to cessation in this setting are complex</w:t>
      </w:r>
      <w:r w:rsidR="00361B3D">
        <w:rPr>
          <w:rStyle w:val="Strong"/>
          <w:rFonts w:eastAsia="Times New Roman" w:cstheme="minorHAnsi"/>
          <w:b w:val="0"/>
          <w:bCs w:val="0"/>
          <w:lang w:eastAsia="zh-CN"/>
        </w:rPr>
        <w:t>;</w:t>
      </w:r>
      <w:r w:rsidRPr="003F1EFE">
        <w:rPr>
          <w:rStyle w:val="Strong"/>
          <w:rFonts w:eastAsia="Times New Roman" w:cstheme="minorHAnsi"/>
          <w:b w:val="0"/>
          <w:bCs w:val="0"/>
          <w:lang w:eastAsia="zh-CN"/>
        </w:rPr>
        <w:t xml:space="preserve"> involving individual, community, and system-level factors.</w:t>
      </w:r>
    </w:p>
    <w:p w14:paraId="3A7D043C" w14:textId="735EA3FE" w:rsidR="006B39BD" w:rsidRPr="003F1EFE" w:rsidRDefault="006B39BD" w:rsidP="003F1EFE">
      <w:pPr>
        <w:pStyle w:val="ListParagraph"/>
        <w:numPr>
          <w:ilvl w:val="0"/>
          <w:numId w:val="31"/>
        </w:numPr>
        <w:rPr>
          <w:rStyle w:val="Strong"/>
          <w:rFonts w:eastAsia="Times New Roman" w:cstheme="minorHAnsi"/>
          <w:b w:val="0"/>
          <w:bCs w:val="0"/>
          <w:lang w:eastAsia="zh-CN"/>
        </w:rPr>
      </w:pPr>
      <w:r w:rsidRPr="003F1EFE">
        <w:rPr>
          <w:rStyle w:val="Strong"/>
          <w:rFonts w:eastAsia="Times New Roman" w:cstheme="minorHAnsi"/>
          <w:b w:val="0"/>
          <w:bCs w:val="0"/>
          <w:lang w:eastAsia="zh-CN"/>
        </w:rPr>
        <w:t>Provider barriers: Health professionals reported a lack of knowledge, skills, and optimism regarding smoking cessation care. Specifically, there was a reluctance to prescribe NRT due to safety concerns and a lack of confidence in counselling.</w:t>
      </w:r>
    </w:p>
    <w:p w14:paraId="65063348" w14:textId="077EFE45" w:rsidR="006B39BD" w:rsidRPr="003F1EFE" w:rsidRDefault="006B39BD" w:rsidP="003F1EFE">
      <w:pPr>
        <w:pStyle w:val="ListParagraph"/>
        <w:numPr>
          <w:ilvl w:val="0"/>
          <w:numId w:val="31"/>
        </w:numPr>
        <w:rPr>
          <w:rStyle w:val="Strong"/>
          <w:rFonts w:eastAsia="Times New Roman" w:cstheme="minorHAnsi"/>
          <w:b w:val="0"/>
          <w:bCs w:val="0"/>
          <w:lang w:eastAsia="zh-CN"/>
        </w:rPr>
      </w:pPr>
      <w:r w:rsidRPr="003F1EFE">
        <w:rPr>
          <w:rStyle w:val="Strong"/>
          <w:rFonts w:eastAsia="Times New Roman" w:cstheme="minorHAnsi"/>
          <w:b w:val="0"/>
          <w:bCs w:val="0"/>
          <w:lang w:eastAsia="zh-CN"/>
        </w:rPr>
        <w:t xml:space="preserve">Patient barriers: Indigenous women reported receiving inconsistent messages from providers (e.g., advice to "cut down" rather than quit) and </w:t>
      </w:r>
      <w:r w:rsidR="00361B3D">
        <w:rPr>
          <w:rStyle w:val="Strong"/>
          <w:rFonts w:eastAsia="Times New Roman" w:cstheme="minorHAnsi"/>
          <w:b w:val="0"/>
          <w:bCs w:val="0"/>
          <w:lang w:eastAsia="zh-CN"/>
        </w:rPr>
        <w:t>exposure to social environments that normalised smoking.</w:t>
      </w:r>
    </w:p>
    <w:p w14:paraId="5770E30F" w14:textId="075A64B5" w:rsidR="006B39BD" w:rsidRPr="003F1EFE" w:rsidRDefault="006B39BD" w:rsidP="003F1EFE">
      <w:pPr>
        <w:pStyle w:val="ListParagraph"/>
        <w:numPr>
          <w:ilvl w:val="0"/>
          <w:numId w:val="31"/>
        </w:numPr>
        <w:rPr>
          <w:rFonts w:eastAsia="Times New Roman" w:cstheme="minorHAnsi"/>
          <w:lang w:eastAsia="zh-CN"/>
        </w:rPr>
      </w:pPr>
      <w:r w:rsidRPr="003F1EFE">
        <w:rPr>
          <w:rStyle w:val="Strong"/>
          <w:rFonts w:eastAsia="Times New Roman" w:cstheme="minorHAnsi"/>
          <w:b w:val="0"/>
          <w:bCs w:val="0"/>
          <w:lang w:eastAsia="zh-CN"/>
        </w:rPr>
        <w:t xml:space="preserve">Resource barriers: There was a lack of culturally appropriate educational materials and </w:t>
      </w:r>
      <w:r w:rsidR="00361B3D">
        <w:rPr>
          <w:rStyle w:val="Strong"/>
          <w:rFonts w:eastAsia="Times New Roman" w:cstheme="minorHAnsi"/>
          <w:b w:val="0"/>
          <w:bCs w:val="0"/>
          <w:lang w:eastAsia="zh-CN"/>
        </w:rPr>
        <w:t xml:space="preserve">also </w:t>
      </w:r>
      <w:r w:rsidRPr="003F1EFE">
        <w:rPr>
          <w:rStyle w:val="Strong"/>
          <w:rFonts w:eastAsia="Times New Roman" w:cstheme="minorHAnsi"/>
          <w:b w:val="0"/>
          <w:bCs w:val="0"/>
          <w:lang w:eastAsia="zh-CN"/>
        </w:rPr>
        <w:t>financial barriers to accessing oral NRT, which is preferred in pregnancy but not always subsidised.</w:t>
      </w:r>
    </w:p>
    <w:p w14:paraId="3FBFCBE0" w14:textId="12D1B47F" w:rsidR="006711C1" w:rsidRDefault="00A704A2" w:rsidP="003F1C4B">
      <w:pPr>
        <w:pStyle w:val="Heading2"/>
        <w:jc w:val="both"/>
      </w:pPr>
      <w:r>
        <w:rPr>
          <w:noProof/>
        </w:rPr>
        <w:drawing>
          <wp:anchor distT="0" distB="0" distL="114300" distR="114300" simplePos="0" relativeHeight="251655168" behindDoc="0" locked="0" layoutInCell="1" allowOverlap="1" wp14:anchorId="5A439008" wp14:editId="2E48E79D">
            <wp:simplePos x="0" y="0"/>
            <wp:positionH relativeFrom="column">
              <wp:posOffset>-59574</wp:posOffset>
            </wp:positionH>
            <wp:positionV relativeFrom="paragraph">
              <wp:posOffset>3118</wp:posOffset>
            </wp:positionV>
            <wp:extent cx="287655" cy="287655"/>
            <wp:effectExtent l="0" t="0" r="0" b="0"/>
            <wp:wrapSquare wrapText="bothSides"/>
            <wp:docPr id="14" name="Graphic 14" descr="Bluepr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Blueprint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A704A2">
        <w:t xml:space="preserve">Selection, adaptation, and application of </w:t>
      </w:r>
      <w:r w:rsidRPr="005919D5">
        <w:t>implementation strategies</w:t>
      </w:r>
    </w:p>
    <w:p w14:paraId="51EE83B2" w14:textId="00884C19" w:rsidR="005919D5" w:rsidRDefault="005919D5" w:rsidP="005919D5">
      <w:r w:rsidRPr="00361B3D">
        <w:rPr>
          <w:b/>
          <w:bCs/>
        </w:rPr>
        <w:t xml:space="preserve">Theory-driven design: </w:t>
      </w:r>
      <w:r>
        <w:t xml:space="preserve">The intervention was developed using the </w:t>
      </w:r>
      <w:hyperlink r:id="rId16" w:history="1">
        <w:r w:rsidRPr="00361B3D">
          <w:rPr>
            <w:rStyle w:val="Hyperlink"/>
          </w:rPr>
          <w:t>Behaviour Change Wheel (BCW)</w:t>
        </w:r>
      </w:hyperlink>
      <w:r>
        <w:t>, incorporating the COM-B model (Capability, Opportunity, Motivation – Behaviour) and the Theoretical Domains Framework (TDF). This ensured all barriers were systematically addressed.</w:t>
      </w:r>
    </w:p>
    <w:p w14:paraId="0021DB1B" w14:textId="45A1E666" w:rsidR="005919D5" w:rsidRDefault="005919D5" w:rsidP="005919D5">
      <w:r w:rsidRPr="00361B3D">
        <w:rPr>
          <w:b/>
          <w:bCs/>
        </w:rPr>
        <w:t>Webinar training and resources:</w:t>
      </w:r>
      <w:r>
        <w:t xml:space="preserve"> To overcome geographical barriers and time constraints in AMSs, provider training was delivered via live, interactive webinars. This improved Capability (knowledge of NRT) and Motivation (optimism).</w:t>
      </w:r>
    </w:p>
    <w:p w14:paraId="103C989B" w14:textId="6D28A50E" w:rsidR="005919D5" w:rsidRDefault="005919D5" w:rsidP="005919D5">
      <w:r w:rsidRPr="00361B3D">
        <w:rPr>
          <w:b/>
          <w:bCs/>
        </w:rPr>
        <w:t>Culturally responsive resources:</w:t>
      </w:r>
      <w:r>
        <w:t xml:space="preserve"> The "Wingadhan Birrang" (woman's journey) resources were developed. These included a patient booklet with embedded augmented reality videos, a flipchart for consultations, and posters. These materials utilised local art and narratives to ensure cultural safety and engagement.</w:t>
      </w:r>
    </w:p>
    <w:p w14:paraId="559626E2" w14:textId="3E1E9C7A" w:rsidR="006711C1" w:rsidRDefault="00B92581" w:rsidP="00B43603">
      <w:pPr>
        <w:pStyle w:val="Heading2"/>
        <w:jc w:val="both"/>
      </w:pPr>
      <w:r w:rsidRPr="002A30D9">
        <w:rPr>
          <w:b w:val="0"/>
          <w:bCs/>
          <w:noProof/>
        </w:rPr>
        <w:lastRenderedPageBreak/>
        <w:drawing>
          <wp:anchor distT="0" distB="0" distL="114300" distR="114300" simplePos="0" relativeHeight="251656192" behindDoc="0" locked="0" layoutInCell="1" allowOverlap="1" wp14:anchorId="79ABE303" wp14:editId="28113E19">
            <wp:simplePos x="0" y="0"/>
            <wp:positionH relativeFrom="margin">
              <wp:posOffset>-91440</wp:posOffset>
            </wp:positionH>
            <wp:positionV relativeFrom="paragraph">
              <wp:posOffset>10795</wp:posOffset>
            </wp:positionV>
            <wp:extent cx="287655" cy="287655"/>
            <wp:effectExtent l="0" t="0" r="0" b="0"/>
            <wp:wrapSquare wrapText="bothSides"/>
            <wp:docPr id="15" name="Graphic 15"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Cycle with people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550D15">
        <w:t>Development and delivery of the s</w:t>
      </w:r>
      <w:r w:rsidR="006711C1">
        <w:t>takeholder engagement strategy</w:t>
      </w:r>
    </w:p>
    <w:p w14:paraId="05D9F768" w14:textId="68D9E059" w:rsidR="0043195C" w:rsidRDefault="0043195C" w:rsidP="0043195C">
      <w:r>
        <w:t xml:space="preserve">The intervention was co-designed through a </w:t>
      </w:r>
      <w:hyperlink r:id="rId19" w:history="1">
        <w:r w:rsidRPr="00361B3D">
          <w:rPr>
            <w:rStyle w:val="Hyperlink"/>
          </w:rPr>
          <w:t>community-based participatory research (CBPR) approach</w:t>
        </w:r>
      </w:hyperlink>
      <w:r>
        <w:t>. A Stakeholder and Consumer Aboriginal Advisory Panel (SCAAP) provided cultural consultation and direction.</w:t>
      </w:r>
    </w:p>
    <w:p w14:paraId="7343EE8F" w14:textId="70925B15" w:rsidR="0043195C" w:rsidRDefault="0043195C" w:rsidP="0043195C">
      <w:r>
        <w:t>The resource development followed a rigorous four-step process:</w:t>
      </w:r>
    </w:p>
    <w:p w14:paraId="4C5BF942" w14:textId="14F5A0AB" w:rsidR="0043195C" w:rsidRDefault="0043195C" w:rsidP="0043195C">
      <w:pPr>
        <w:pStyle w:val="ListParagraph"/>
        <w:numPr>
          <w:ilvl w:val="0"/>
          <w:numId w:val="32"/>
        </w:numPr>
      </w:pPr>
      <w:r>
        <w:t>Scientific review by an expert panel.</w:t>
      </w:r>
    </w:p>
    <w:p w14:paraId="7645D98D" w14:textId="362D5479" w:rsidR="0043195C" w:rsidRDefault="0043195C" w:rsidP="0043195C">
      <w:pPr>
        <w:pStyle w:val="ListParagraph"/>
        <w:numPr>
          <w:ilvl w:val="0"/>
          <w:numId w:val="32"/>
        </w:numPr>
      </w:pPr>
      <w:r>
        <w:t>‘Suitability of Materials’ scoring by Aboriginal Health Workers.</w:t>
      </w:r>
    </w:p>
    <w:p w14:paraId="58A9F10E" w14:textId="75FF56A6" w:rsidR="0043195C" w:rsidRDefault="0043195C" w:rsidP="0043195C">
      <w:pPr>
        <w:pStyle w:val="ListParagraph"/>
        <w:numPr>
          <w:ilvl w:val="0"/>
          <w:numId w:val="32"/>
        </w:numPr>
      </w:pPr>
      <w:r>
        <w:t>Readability testing.</w:t>
      </w:r>
    </w:p>
    <w:p w14:paraId="0A91925C" w14:textId="77777777" w:rsidR="0043195C" w:rsidRDefault="0043195C" w:rsidP="0043195C">
      <w:pPr>
        <w:pStyle w:val="ListParagraph"/>
        <w:numPr>
          <w:ilvl w:val="0"/>
          <w:numId w:val="32"/>
        </w:numPr>
      </w:pPr>
      <w:r>
        <w:t>Focus groups with health professionals and Aboriginal women in three states.</w:t>
      </w:r>
    </w:p>
    <w:p w14:paraId="21FA4F75" w14:textId="3BCD2112" w:rsidR="0043195C" w:rsidRPr="0043195C" w:rsidRDefault="0043195C" w:rsidP="0043195C">
      <w:r>
        <w:t>A dedicated Research Facilitator was employed within each AMS to recruit women and collect data, building research capacity within the Aboriginal Community Controlled Health Services.</w:t>
      </w:r>
    </w:p>
    <w:p w14:paraId="4BA303FF" w14:textId="2A26E3C2" w:rsidR="006711C1" w:rsidRDefault="006C13AC" w:rsidP="00B43603">
      <w:pPr>
        <w:pStyle w:val="Heading2"/>
        <w:jc w:val="both"/>
      </w:pPr>
      <w:r w:rsidRPr="00AB5B73">
        <w:rPr>
          <w:rFonts w:eastAsia="Calibri"/>
          <w:noProof/>
          <w:lang w:eastAsia="zh-CN"/>
        </w:rPr>
        <w:drawing>
          <wp:anchor distT="0" distB="0" distL="114300" distR="114300" simplePos="0" relativeHeight="251660288" behindDoc="0" locked="0" layoutInCell="1" allowOverlap="1" wp14:anchorId="51C327D1" wp14:editId="122B19F2">
            <wp:simplePos x="0" y="0"/>
            <wp:positionH relativeFrom="margin">
              <wp:posOffset>-119951</wp:posOffset>
            </wp:positionH>
            <wp:positionV relativeFrom="paragraph">
              <wp:posOffset>3810</wp:posOffset>
            </wp:positionV>
            <wp:extent cx="287655" cy="287655"/>
            <wp:effectExtent l="0" t="0" r="0" b="0"/>
            <wp:wrapSquare wrapText="bothSides"/>
            <wp:docPr id="16" name="Graphic 16"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ales of justice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Evaluati</w:t>
      </w:r>
      <w:r w:rsidR="00550D15">
        <w:t>ng implementation</w:t>
      </w:r>
    </w:p>
    <w:p w14:paraId="4719E7E7" w14:textId="36E0F39F" w:rsidR="00310221" w:rsidRDefault="00310221" w:rsidP="00310221">
      <w:r>
        <w:t xml:space="preserve">The study utilised a multi-centre, step-wedge cluster randomised pilot trial design across six AMSs in New South Wales, Queensland, and South Australia. It assessed </w:t>
      </w:r>
      <w:hyperlink r:id="rId22" w:history="1">
        <w:r w:rsidRPr="00361B3D">
          <w:rPr>
            <w:rStyle w:val="Hyperlink"/>
          </w:rPr>
          <w:t>feasibility, acceptability, and preliminary effectiveness.</w:t>
        </w:r>
      </w:hyperlink>
    </w:p>
    <w:p w14:paraId="529D4207" w14:textId="423092CB" w:rsidR="00310221" w:rsidRPr="00361B3D" w:rsidRDefault="00310221" w:rsidP="00310221">
      <w:pPr>
        <w:rPr>
          <w:b/>
          <w:bCs/>
        </w:rPr>
      </w:pPr>
      <w:r w:rsidRPr="00361B3D">
        <w:rPr>
          <w:b/>
          <w:bCs/>
        </w:rPr>
        <w:t>Impact assessment:</w:t>
      </w:r>
    </w:p>
    <w:p w14:paraId="35B5534F" w14:textId="61F8F068" w:rsidR="00310221" w:rsidRDefault="00310221" w:rsidP="00310221">
      <w:pPr>
        <w:pStyle w:val="ListParagraph"/>
        <w:numPr>
          <w:ilvl w:val="0"/>
          <w:numId w:val="33"/>
        </w:numPr>
      </w:pPr>
      <w:r>
        <w:t>Feasibility: Recruitment rates were 47% for eligible pregnant women and 54% for eligible health providers. Retention was high for women (77%) but lower for providers (40%).</w:t>
      </w:r>
    </w:p>
    <w:p w14:paraId="105DC328" w14:textId="46EA8281" w:rsidR="00310221" w:rsidRDefault="00310221" w:rsidP="00310221">
      <w:pPr>
        <w:pStyle w:val="ListParagraph"/>
        <w:numPr>
          <w:ilvl w:val="0"/>
          <w:numId w:val="33"/>
        </w:numPr>
      </w:pPr>
      <w:r>
        <w:rPr>
          <w:rFonts w:hint="eastAsia"/>
        </w:rPr>
        <w:t xml:space="preserve">Effectiveness: At 12 weeks, 13.6% of women achieved chemically validated smoking abstinence (CO readings </w:t>
      </w:r>
      <w:r>
        <w:rPr>
          <w:rFonts w:hint="eastAsia"/>
        </w:rPr>
        <w:t>≤</w:t>
      </w:r>
      <w:r>
        <w:rPr>
          <w:rFonts w:hint="eastAsia"/>
        </w:rPr>
        <w:t>6 ppm).</w:t>
      </w:r>
    </w:p>
    <w:p w14:paraId="74755E66" w14:textId="78149C56" w:rsidR="00310221" w:rsidRPr="00310221" w:rsidRDefault="00310221" w:rsidP="00310221">
      <w:pPr>
        <w:pStyle w:val="ListParagraph"/>
        <w:numPr>
          <w:ilvl w:val="0"/>
          <w:numId w:val="33"/>
        </w:numPr>
      </w:pPr>
      <w:r>
        <w:t>Provider Outcomes: There was a significant improvement in provider knowledge and attitudes regarding NRT and general smoking cessation care.</w:t>
      </w:r>
    </w:p>
    <w:p w14:paraId="0E1BB3CD" w14:textId="7E9C8961" w:rsidR="006711C1" w:rsidRDefault="00A704A2" w:rsidP="00B43603">
      <w:pPr>
        <w:pStyle w:val="Heading2"/>
        <w:jc w:val="both"/>
      </w:pPr>
      <w:r>
        <w:rPr>
          <w:noProof/>
        </w:rPr>
        <w:drawing>
          <wp:anchor distT="0" distB="0" distL="114300" distR="114300" simplePos="0" relativeHeight="251668480" behindDoc="0" locked="0" layoutInCell="1" allowOverlap="1" wp14:anchorId="27E9EC86" wp14:editId="75DDA1E1">
            <wp:simplePos x="0" y="0"/>
            <wp:positionH relativeFrom="margin">
              <wp:posOffset>-76200</wp:posOffset>
            </wp:positionH>
            <wp:positionV relativeFrom="paragraph">
              <wp:posOffset>29845</wp:posOffset>
            </wp:positionV>
            <wp:extent cx="287655" cy="287655"/>
            <wp:effectExtent l="0" t="0" r="0" b="0"/>
            <wp:wrapSquare wrapText="bothSides"/>
            <wp:docPr id="17" name="Graphic 17" descr="Bar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Bar chart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Results and key findings</w:t>
      </w:r>
    </w:p>
    <w:p w14:paraId="713BF8F9" w14:textId="6455C26B" w:rsidR="00310221" w:rsidRDefault="00310221" w:rsidP="00310221">
      <w:hyperlink r:id="rId25" w:history="1">
        <w:r w:rsidRPr="00361B3D">
          <w:rPr>
            <w:rStyle w:val="Hyperlink"/>
          </w:rPr>
          <w:t>Health provider capability</w:t>
        </w:r>
      </w:hyperlink>
      <w:r>
        <w:t>: The webinar training and resources significantly improved providers' confidence and knowledge regarding NRT prescription. Qualitative interviews indicated that staff felt better equipped to challenge understanding of NRT and support women.</w:t>
      </w:r>
    </w:p>
    <w:p w14:paraId="2A24B106" w14:textId="6221742E" w:rsidR="00310221" w:rsidRDefault="00310221" w:rsidP="00310221">
      <w:hyperlink r:id="rId26" w:history="1">
        <w:r w:rsidRPr="00361B3D">
          <w:rPr>
            <w:rStyle w:val="Hyperlink"/>
          </w:rPr>
          <w:t>Patient engagement</w:t>
        </w:r>
      </w:hyperlink>
      <w:r>
        <w:t>: Participating women showed high motivation, with many making multiple quit attempts. The provision of free NRT and culturally safe engagement led to 55% of participants accepting an offer of NRT.</w:t>
      </w:r>
    </w:p>
    <w:p w14:paraId="018BFF5D" w14:textId="5CA7F5B7" w:rsidR="00310221" w:rsidRPr="00310221" w:rsidRDefault="00310221" w:rsidP="00310221">
      <w:r w:rsidRPr="00361B3D">
        <w:rPr>
          <w:b/>
          <w:bCs/>
        </w:rPr>
        <w:t>Implementation fidelity:</w:t>
      </w:r>
      <w:r>
        <w:t xml:space="preserve"> While training and resource use were high, challenges remained in collecting systemic data (e.g., audit and feedback logs) due to workload pressures in the clinics.</w:t>
      </w:r>
    </w:p>
    <w:p w14:paraId="39772CF4" w14:textId="3D75D78E" w:rsidR="006711C1" w:rsidRDefault="00A704A2" w:rsidP="00B43603">
      <w:pPr>
        <w:pStyle w:val="Heading2"/>
        <w:jc w:val="both"/>
      </w:pPr>
      <w:r>
        <w:rPr>
          <w:noProof/>
        </w:rPr>
        <w:drawing>
          <wp:anchor distT="0" distB="0" distL="114300" distR="114300" simplePos="0" relativeHeight="251670528" behindDoc="0" locked="0" layoutInCell="1" allowOverlap="1" wp14:anchorId="6FA1A198" wp14:editId="5F819323">
            <wp:simplePos x="0" y="0"/>
            <wp:positionH relativeFrom="column">
              <wp:posOffset>-38389</wp:posOffset>
            </wp:positionH>
            <wp:positionV relativeFrom="paragraph">
              <wp:posOffset>577</wp:posOffset>
            </wp:positionV>
            <wp:extent cx="287655" cy="287655"/>
            <wp:effectExtent l="0" t="0" r="0" b="0"/>
            <wp:wrapSquare wrapText="bothSides"/>
            <wp:docPr id="18" name="Graphic 18"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Clipboard Mixed with solid fill"/>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Strengths and limitations</w:t>
      </w:r>
    </w:p>
    <w:p w14:paraId="26C3AB5B" w14:textId="6FB4C4C4" w:rsidR="00FB7DE0" w:rsidRPr="00FB7DE0" w:rsidRDefault="00FB7DE0" w:rsidP="00FB7DE0">
      <w:pPr>
        <w:rPr>
          <w:b/>
          <w:bCs/>
        </w:rPr>
      </w:pPr>
      <w:r w:rsidRPr="00FB7DE0">
        <w:rPr>
          <w:b/>
          <w:bCs/>
        </w:rPr>
        <w:t>Strengths</w:t>
      </w:r>
    </w:p>
    <w:p w14:paraId="3B918199" w14:textId="66487171" w:rsidR="00FB7DE0" w:rsidRDefault="00FB7DE0" w:rsidP="00FB7DE0">
      <w:pPr>
        <w:pStyle w:val="ListParagraph"/>
        <w:numPr>
          <w:ilvl w:val="0"/>
          <w:numId w:val="34"/>
        </w:numPr>
      </w:pPr>
      <w:r>
        <w:t>The use of BCW and TDF ensured the intervention targeted specific behavioural determinants.</w:t>
      </w:r>
    </w:p>
    <w:p w14:paraId="374F92D6" w14:textId="0434E1E2" w:rsidR="00FB7DE0" w:rsidRDefault="00FB7DE0" w:rsidP="00FB7DE0">
      <w:pPr>
        <w:pStyle w:val="ListParagraph"/>
        <w:numPr>
          <w:ilvl w:val="0"/>
          <w:numId w:val="34"/>
        </w:numPr>
      </w:pPr>
      <w:r>
        <w:t>Extensive co-design and the use of Indigenous researchers ensured the programme was culturally responsive.</w:t>
      </w:r>
    </w:p>
    <w:p w14:paraId="09C474C8" w14:textId="257B6497" w:rsidR="00FB7DE0" w:rsidRDefault="00FB7DE0" w:rsidP="00FB7DE0">
      <w:pPr>
        <w:pStyle w:val="ListParagraph"/>
        <w:numPr>
          <w:ilvl w:val="0"/>
          <w:numId w:val="34"/>
        </w:numPr>
      </w:pPr>
      <w:r>
        <w:lastRenderedPageBreak/>
        <w:t>Targeting both the provider (training) and the patient (resources, free NRT) simultaneously addressed the gap in care.</w:t>
      </w:r>
    </w:p>
    <w:p w14:paraId="50C0C27F" w14:textId="77777777" w:rsidR="00FB7DE0" w:rsidRPr="00FB7DE0" w:rsidRDefault="00FB7DE0" w:rsidP="00FB7DE0">
      <w:pPr>
        <w:rPr>
          <w:b/>
          <w:bCs/>
        </w:rPr>
      </w:pPr>
      <w:r w:rsidRPr="00FB7DE0">
        <w:rPr>
          <w:b/>
          <w:bCs/>
        </w:rPr>
        <w:t>Limitations</w:t>
      </w:r>
    </w:p>
    <w:p w14:paraId="242FC978" w14:textId="427D946D" w:rsidR="00FB7DE0" w:rsidRDefault="00FB7DE0" w:rsidP="00FB7DE0">
      <w:pPr>
        <w:pStyle w:val="ListParagraph"/>
        <w:numPr>
          <w:ilvl w:val="0"/>
          <w:numId w:val="35"/>
        </w:numPr>
      </w:pPr>
      <w:r>
        <w:t>As a pilot study, the sample size (22 women, 50 HPs) was small, limiting the statistical power to determine full effectiveness.</w:t>
      </w:r>
    </w:p>
    <w:p w14:paraId="3062CB4D" w14:textId="629D2985" w:rsidR="00FB7DE0" w:rsidRDefault="00FB7DE0" w:rsidP="00FB7DE0">
      <w:pPr>
        <w:pStyle w:val="ListParagraph"/>
        <w:numPr>
          <w:ilvl w:val="0"/>
          <w:numId w:val="35"/>
        </w:numPr>
      </w:pPr>
      <w:r>
        <w:t>Low retention rates for health provider surveys (40%) suggest the need for different engagement strategies for busy clinicians.</w:t>
      </w:r>
    </w:p>
    <w:p w14:paraId="580955F7" w14:textId="05A54813" w:rsidR="00310221" w:rsidRPr="00310221" w:rsidRDefault="00FB7DE0" w:rsidP="00FB7DE0">
      <w:pPr>
        <w:pStyle w:val="ListParagraph"/>
        <w:numPr>
          <w:ilvl w:val="0"/>
          <w:numId w:val="35"/>
        </w:numPr>
      </w:pPr>
      <w:r>
        <w:t>The study duration was relatively short, limiting long-term follow-up on sustained cessation.</w:t>
      </w:r>
    </w:p>
    <w:p w14:paraId="199BC6E3" w14:textId="32FBFDAA" w:rsidR="006711C1" w:rsidRDefault="00B92581" w:rsidP="00B43603">
      <w:pPr>
        <w:pStyle w:val="Heading2"/>
        <w:jc w:val="both"/>
      </w:pPr>
      <w:r w:rsidRPr="002A30D9">
        <w:rPr>
          <w:b w:val="0"/>
          <w:bCs/>
          <w:noProof/>
        </w:rPr>
        <w:drawing>
          <wp:anchor distT="0" distB="0" distL="114300" distR="114300" simplePos="0" relativeHeight="251672576" behindDoc="0" locked="0" layoutInCell="1" allowOverlap="1" wp14:anchorId="7D8568FC" wp14:editId="652B2D65">
            <wp:simplePos x="0" y="0"/>
            <wp:positionH relativeFrom="leftMargin">
              <wp:posOffset>720090</wp:posOffset>
            </wp:positionH>
            <wp:positionV relativeFrom="paragraph">
              <wp:posOffset>0</wp:posOffset>
            </wp:positionV>
            <wp:extent cx="287655" cy="287655"/>
            <wp:effectExtent l="0" t="0" r="0" b="0"/>
            <wp:wrapSquare wrapText="bothSides"/>
            <wp:docPr id="19" name="Graphic 19" descr="Mountai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ountains with solid fill"/>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Success factors and challenges</w:t>
      </w:r>
    </w:p>
    <w:p w14:paraId="643C6349" w14:textId="1B7508E2" w:rsidR="00830A79" w:rsidRPr="00830A79" w:rsidRDefault="00830A79" w:rsidP="00830A79">
      <w:r w:rsidRPr="00361B3D">
        <w:rPr>
          <w:b/>
          <w:bCs/>
        </w:rPr>
        <w:t>Success factors</w:t>
      </w:r>
      <w:r w:rsidRPr="00830A79">
        <w:t>: The</w:t>
      </w:r>
      <w:r>
        <w:t xml:space="preserve"> strong partnership with Aboriginal Medical Services and the provision of tangible resources (NRT, CO meters, high-quality booklets) were critical. The interactive webinar format was </w:t>
      </w:r>
      <w:r w:rsidRPr="00830A79">
        <w:t>deemed acceptable and effective for rural services.</w:t>
      </w:r>
    </w:p>
    <w:p w14:paraId="06395D7C" w14:textId="22CDAB1F" w:rsidR="00830A79" w:rsidRPr="00830A79" w:rsidRDefault="00830A79" w:rsidP="00830A79">
      <w:r w:rsidRPr="00361B3D">
        <w:rPr>
          <w:b/>
          <w:bCs/>
        </w:rPr>
        <w:t>Challenges</w:t>
      </w:r>
      <w:r w:rsidRPr="00830A79">
        <w:t>:</w:t>
      </w:r>
      <w:r>
        <w:t xml:space="preserve"> High staff turnover and time constraints </w:t>
      </w:r>
      <w:r w:rsidR="00361B3D">
        <w:t>of</w:t>
      </w:r>
      <w:r>
        <w:t xml:space="preserve"> AMSs made consistent training attendance difficult. The "step-wedge" design was confusing for some services </w:t>
      </w:r>
      <w:r w:rsidR="00361B3D">
        <w:t>which</w:t>
      </w:r>
      <w:r>
        <w:t xml:space="preserve"> preferred immediate implementation.</w:t>
      </w:r>
    </w:p>
    <w:p w14:paraId="4A3FABE0" w14:textId="5920CD0D" w:rsidR="006711C1" w:rsidRDefault="00A704A2" w:rsidP="00B43603">
      <w:pPr>
        <w:pStyle w:val="Heading2"/>
        <w:jc w:val="both"/>
      </w:pPr>
      <w:r>
        <w:rPr>
          <w:noProof/>
        </w:rPr>
        <w:drawing>
          <wp:anchor distT="0" distB="0" distL="114300" distR="114300" simplePos="0" relativeHeight="251674624" behindDoc="0" locked="0" layoutInCell="1" allowOverlap="1" wp14:anchorId="79E9FDC5" wp14:editId="46DEB73E">
            <wp:simplePos x="0" y="0"/>
            <wp:positionH relativeFrom="column">
              <wp:posOffset>3175</wp:posOffset>
            </wp:positionH>
            <wp:positionV relativeFrom="paragraph">
              <wp:posOffset>21590</wp:posOffset>
            </wp:positionV>
            <wp:extent cx="287655" cy="287655"/>
            <wp:effectExtent l="0" t="0" r="0" b="0"/>
            <wp:wrapSquare wrapText="bothSides"/>
            <wp:docPr id="20" name="Graphic 20" descr="Footprint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Footprints with solid fill"/>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Next steps</w:t>
      </w:r>
    </w:p>
    <w:p w14:paraId="79D335E5" w14:textId="3D5CD4B7" w:rsidR="00830A79" w:rsidRDefault="00830A79" w:rsidP="00830A79">
      <w:r w:rsidRPr="00361B3D">
        <w:rPr>
          <w:b/>
          <w:bCs/>
        </w:rPr>
        <w:t xml:space="preserve">Scale-up (SISTAQUIT): </w:t>
      </w:r>
      <w:r>
        <w:t xml:space="preserve">Based on the pilot's success, the project has expanded into a full cluster randomised controlled trial named </w:t>
      </w:r>
      <w:hyperlink r:id="rId33" w:history="1">
        <w:r w:rsidRPr="00361B3D">
          <w:rPr>
            <w:rStyle w:val="Hyperlink"/>
          </w:rPr>
          <w:t>SISTAQUIT™</w:t>
        </w:r>
      </w:hyperlink>
      <w:r>
        <w:t xml:space="preserve"> (Supporting Indigenous Smokers To Assist Quitting), involving 30 sites across Australia.</w:t>
      </w:r>
    </w:p>
    <w:p w14:paraId="68AE13FC" w14:textId="36C794F1" w:rsidR="00830A79" w:rsidRPr="00830A79" w:rsidRDefault="00830A79" w:rsidP="00830A79">
      <w:r w:rsidRPr="00361B3D">
        <w:rPr>
          <w:b/>
          <w:bCs/>
        </w:rPr>
        <w:t>Refinement:</w:t>
      </w:r>
      <w:r>
        <w:t xml:space="preserve"> The training has been refined to be shorter and more accessible, and data collection burdens have been reduced based on pilot feedback.</w:t>
      </w:r>
    </w:p>
    <w:p w14:paraId="2B7B54B8" w14:textId="7FD168E0" w:rsidR="002F3171" w:rsidRDefault="002F3171" w:rsidP="00B43603">
      <w:pPr>
        <w:pStyle w:val="Heading2"/>
        <w:jc w:val="both"/>
      </w:pPr>
      <w:r>
        <w:t>References</w:t>
      </w:r>
    </w:p>
    <w:p w14:paraId="03FC97ED" w14:textId="5DB785B8" w:rsidR="00344C35" w:rsidRDefault="00344C35" w:rsidP="00344C35">
      <w:r>
        <w:t>Bar-Zeev Y, Bonevski B, Bovill M, Gruppetta M, Oldmeadow C, Palazzi K, Atkins L, Reath J, Gould GS. The Indigenous Counselling and Nicotine (ICAN) QUIT in Pregnancy Pilot Study protocol: a feasibility step-wedge cluster randomised trial to improve health providers' management of smoking during pregnancy. BMJ Open. 2017;7:e016095.</w:t>
      </w:r>
    </w:p>
    <w:p w14:paraId="68E0AB9C" w14:textId="03118908" w:rsidR="00344C35" w:rsidRDefault="00344C35" w:rsidP="00344C35">
      <w:r>
        <w:t>Gould GS, Bovill M, Pollock L, Bonevski B, Gruppetta M, Atkins L, Carson-Chahhoud K, Boydell KM, Gribbin GR, Oldmeadow C, Hall A, Bar-Zeev Y. Feasibility and acceptability of Indigenous Counselling and Nicotine (ICAN) QUIT in Pregnancy multicomponent implementation intervention and study design for Australian Indigenous pregnant women: A pilot cluster randomised step-wedge trial. Addictive Behaviors. 2019;90:176-190.</w:t>
      </w:r>
    </w:p>
    <w:p w14:paraId="4EBA31A7" w14:textId="0E245C83" w:rsidR="00344C35" w:rsidRPr="00344C35" w:rsidRDefault="00344C35" w:rsidP="00344C35">
      <w:r>
        <w:t>Bar-Zeev Y, Bovill M, Bonevski B, Gruppetta M, Oldmeadow C, Palazzi K, Atkins L, Reath J, Gould GS. Improving smoking cessation care in pregnancy at Aboriginal Medical Services: ‘ICAN QUIT in Pregnancy’ step-wedge cluster randomised study. BMJ Open. 2019;9:e025293.</w:t>
      </w:r>
    </w:p>
    <w:p w14:paraId="4DA4ABB7" w14:textId="2B179A7F" w:rsidR="00A62F93" w:rsidRPr="00A62F93" w:rsidRDefault="00A62F93" w:rsidP="00A62F93"/>
    <w:p w14:paraId="1CB52B8E" w14:textId="438ECAC3" w:rsidR="002D3896" w:rsidRDefault="00361B3D" w:rsidP="00A62F93">
      <w:pPr>
        <w:pStyle w:val="Heading2"/>
        <w:ind w:left="720"/>
        <w:jc w:val="both"/>
      </w:pPr>
      <w:r>
        <w:rPr>
          <w:noProof/>
        </w:rPr>
        <w:lastRenderedPageBreak/>
        <w:drawing>
          <wp:anchor distT="0" distB="0" distL="114300" distR="114300" simplePos="0" relativeHeight="251675648" behindDoc="0" locked="0" layoutInCell="1" allowOverlap="1" wp14:anchorId="6930D56E" wp14:editId="03B3ED72">
            <wp:simplePos x="0" y="0"/>
            <wp:positionH relativeFrom="column">
              <wp:posOffset>-86506</wp:posOffset>
            </wp:positionH>
            <wp:positionV relativeFrom="paragraph">
              <wp:posOffset>-99830</wp:posOffset>
            </wp:positionV>
            <wp:extent cx="377099" cy="377099"/>
            <wp:effectExtent l="0" t="0" r="4445" b="0"/>
            <wp:wrapNone/>
            <wp:docPr id="930246898"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46898" name="Graphic 930246898" descr="Presentation with checklist with solid fill"/>
                    <pic:cNvPicPr/>
                  </pic:nvPicPr>
                  <pic:blipFill>
                    <a:blip r:embed="rId34">
                      <a:extLst>
                        <a:ext uri="{96DAC541-7B7A-43D3-8B79-37D633B846F1}">
                          <asvg:svgBlip xmlns:asvg="http://schemas.microsoft.com/office/drawing/2016/SVG/main" r:embed="rId35"/>
                        </a:ext>
                      </a:extLst>
                    </a:blip>
                    <a:stretch>
                      <a:fillRect/>
                    </a:stretch>
                  </pic:blipFill>
                  <pic:spPr>
                    <a:xfrm>
                      <a:off x="0" y="0"/>
                      <a:ext cx="377099" cy="377099"/>
                    </a:xfrm>
                    <a:prstGeom prst="rect">
                      <a:avLst/>
                    </a:prstGeom>
                  </pic:spPr>
                </pic:pic>
              </a:graphicData>
            </a:graphic>
            <wp14:sizeRelH relativeFrom="page">
              <wp14:pctWidth>0</wp14:pctWidth>
            </wp14:sizeRelH>
            <wp14:sizeRelV relativeFrom="page">
              <wp14:pctHeight>0</wp14:pctHeight>
            </wp14:sizeRelV>
          </wp:anchor>
        </w:drawing>
      </w:r>
      <w:r w:rsidR="002D3896">
        <w:t>Key learning objectives</w:t>
      </w:r>
    </w:p>
    <w:p w14:paraId="63C5898F" w14:textId="044DF4C7" w:rsidR="00344C35" w:rsidRDefault="00344C35" w:rsidP="00344C35">
      <w:pPr>
        <w:pStyle w:val="ListParagraph"/>
        <w:numPr>
          <w:ilvl w:val="0"/>
          <w:numId w:val="36"/>
        </w:numPr>
      </w:pPr>
      <w:r>
        <w:t>Understand how the Behaviour Change Wheel (BCW) and COM-B model can be applied to design culturally safe smoking cessation interventions for Indigenous populations</w:t>
      </w:r>
    </w:p>
    <w:p w14:paraId="74DE7F94" w14:textId="3CCAB749" w:rsidR="00344C35" w:rsidRDefault="00344C35" w:rsidP="00344C35">
      <w:pPr>
        <w:pStyle w:val="ListParagraph"/>
        <w:numPr>
          <w:ilvl w:val="0"/>
          <w:numId w:val="36"/>
        </w:numPr>
      </w:pPr>
      <w:r>
        <w:t>Recognise the implementation challenges in resource-constrained primary care settings (AMSs) and how strategies like webinar training and free pharmacotherapy supply can overcome opportunity barriers.</w:t>
      </w:r>
    </w:p>
    <w:p w14:paraId="39DA3119" w14:textId="16D159F6" w:rsidR="00344C35" w:rsidRPr="00344C35" w:rsidRDefault="00344C35" w:rsidP="00344C35">
      <w:pPr>
        <w:pStyle w:val="ListParagraph"/>
        <w:numPr>
          <w:ilvl w:val="0"/>
          <w:numId w:val="36"/>
        </w:numPr>
      </w:pPr>
      <w:r>
        <w:t>Learn the importance of community-based participatory research and co-design in ensuring the acceptability and feasibility of implementation trials in Indigenous health contexts.</w:t>
      </w:r>
    </w:p>
    <w:p w14:paraId="3D5FEC55" w14:textId="742D36E8" w:rsidR="002D3896" w:rsidRDefault="002D3896" w:rsidP="00B43603">
      <w:pPr>
        <w:spacing w:after="120" w:line="240" w:lineRule="auto"/>
        <w:jc w:val="both"/>
      </w:pPr>
    </w:p>
    <w:sectPr w:rsidR="002D3896" w:rsidSect="00897A76">
      <w:headerReference w:type="default" r:id="rId36"/>
      <w:footerReference w:type="default" r:id="rId3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9F31C" w14:textId="77777777" w:rsidR="00EC3423" w:rsidRDefault="00EC3423" w:rsidP="00A33673">
      <w:pPr>
        <w:spacing w:after="0"/>
      </w:pPr>
      <w:r>
        <w:separator/>
      </w:r>
    </w:p>
  </w:endnote>
  <w:endnote w:type="continuationSeparator" w:id="0">
    <w:p w14:paraId="0F63BCC4" w14:textId="77777777" w:rsidR="00EC3423" w:rsidRDefault="00EC3423" w:rsidP="00A33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452432"/>
      <w:docPartObj>
        <w:docPartGallery w:val="Page Numbers (Bottom of Page)"/>
        <w:docPartUnique/>
      </w:docPartObj>
    </w:sdtPr>
    <w:sdtEndPr/>
    <w:sdtContent>
      <w:sdt>
        <w:sdtPr>
          <w:id w:val="1728636285"/>
          <w:docPartObj>
            <w:docPartGallery w:val="Page Numbers (Top of Page)"/>
            <w:docPartUnique/>
          </w:docPartObj>
        </w:sdtPr>
        <w:sdtEndPr/>
        <w:sdtContent>
          <w:p w14:paraId="647265D8" w14:textId="77777777" w:rsidR="00A33673" w:rsidRDefault="00A33673" w:rsidP="00A33673">
            <w:pPr>
              <w:pStyle w:val="Footer"/>
              <w:jc w:val="center"/>
            </w:pPr>
          </w:p>
          <w:p w14:paraId="13B9F54D" w14:textId="77777777" w:rsidR="00A33673" w:rsidRDefault="00A33673" w:rsidP="00A336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ABFA7" w14:textId="77777777" w:rsidR="00EC3423" w:rsidRDefault="00EC3423" w:rsidP="00A33673">
      <w:pPr>
        <w:spacing w:after="0"/>
      </w:pPr>
      <w:r>
        <w:separator/>
      </w:r>
    </w:p>
  </w:footnote>
  <w:footnote w:type="continuationSeparator" w:id="0">
    <w:p w14:paraId="3E786D11" w14:textId="77777777" w:rsidR="00EC3423" w:rsidRDefault="00EC3423" w:rsidP="00A336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4"/>
      <w:gridCol w:w="2805"/>
      <w:gridCol w:w="1275"/>
    </w:tblGrid>
    <w:tr w:rsidR="005C6121" w14:paraId="54E1E65D" w14:textId="77777777" w:rsidTr="005C6121">
      <w:trPr>
        <w:jc w:val="center"/>
      </w:trPr>
      <w:tc>
        <w:tcPr>
          <w:tcW w:w="2724" w:type="dxa"/>
          <w:vAlign w:val="center"/>
        </w:tcPr>
        <w:p w14:paraId="6FA4D5C4" w14:textId="77777777" w:rsidR="005C6121" w:rsidRDefault="005C6121" w:rsidP="005C6121">
          <w:pPr>
            <w:spacing w:after="0"/>
            <w:jc w:val="center"/>
          </w:pPr>
          <w:r>
            <w:rPr>
              <w:noProof/>
            </w:rPr>
            <w:drawing>
              <wp:inline distT="0" distB="0" distL="0" distR="0" wp14:anchorId="794F7358" wp14:editId="61FFEC05">
                <wp:extent cx="1859336" cy="328863"/>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 cstate="print">
                          <a:alphaModFix amt="35000"/>
                          <a:extLst>
                            <a:ext uri="{28A0092B-C50C-407E-A947-70E740481C1C}">
                              <a14:useLocalDpi xmlns:a14="http://schemas.microsoft.com/office/drawing/2010/main" val="0"/>
                            </a:ext>
                          </a:extLst>
                        </a:blip>
                        <a:srcRect/>
                        <a:stretch>
                          <a:fillRect/>
                        </a:stretch>
                      </pic:blipFill>
                      <pic:spPr bwMode="auto">
                        <a:xfrm>
                          <a:off x="0" y="0"/>
                          <a:ext cx="1913050" cy="338363"/>
                        </a:xfrm>
                        <a:prstGeom prst="rect">
                          <a:avLst/>
                        </a:prstGeom>
                        <a:noFill/>
                        <a:ln>
                          <a:noFill/>
                        </a:ln>
                      </pic:spPr>
                    </pic:pic>
                  </a:graphicData>
                </a:graphic>
              </wp:inline>
            </w:drawing>
          </w:r>
        </w:p>
      </w:tc>
      <w:tc>
        <w:tcPr>
          <w:tcW w:w="2805" w:type="dxa"/>
          <w:vAlign w:val="center"/>
        </w:tcPr>
        <w:p w14:paraId="21A9A38F" w14:textId="77777777" w:rsidR="005C6121" w:rsidRDefault="005C6121" w:rsidP="005C6121">
          <w:pPr>
            <w:spacing w:after="0"/>
            <w:jc w:val="center"/>
          </w:pPr>
          <w:r>
            <w:rPr>
              <w:noProof/>
            </w:rPr>
            <w:drawing>
              <wp:inline distT="0" distB="0" distL="0" distR="0" wp14:anchorId="0AF6850C" wp14:editId="2433F10E">
                <wp:extent cx="1568583" cy="521582"/>
                <wp:effectExtent l="0" t="0" r="0"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rotWithShape="1">
                        <a:blip r:embed="rId2" cstate="print">
                          <a:alphaModFix amt="35000"/>
                          <a:extLst>
                            <a:ext uri="{28A0092B-C50C-407E-A947-70E740481C1C}">
                              <a14:useLocalDpi xmlns:a14="http://schemas.microsoft.com/office/drawing/2010/main" val="0"/>
                            </a:ext>
                          </a:extLst>
                        </a:blip>
                        <a:srcRect t="16299" b="23675"/>
                        <a:stretch/>
                      </pic:blipFill>
                      <pic:spPr bwMode="auto">
                        <a:xfrm>
                          <a:off x="0" y="0"/>
                          <a:ext cx="1583597" cy="5265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5" w:type="dxa"/>
          <w:vAlign w:val="center"/>
        </w:tcPr>
        <w:p w14:paraId="03F47966" w14:textId="77777777" w:rsidR="005C6121" w:rsidRDefault="005C6121" w:rsidP="005C6121">
          <w:pPr>
            <w:spacing w:after="0"/>
          </w:pPr>
          <w:r>
            <w:rPr>
              <w:noProof/>
            </w:rPr>
            <w:drawing>
              <wp:inline distT="0" distB="0" distL="0" distR="0" wp14:anchorId="6ED65EB8" wp14:editId="0824CE62">
                <wp:extent cx="613644" cy="613644"/>
                <wp:effectExtent l="0" t="0" r="0" b="0"/>
                <wp:docPr id="11" name="Picture 11" descr="The University of Melbourne Logo PNG Transparent &amp;amp;amp; SVG Vector - Freebie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University of Melbourne Logo PNG Transparent &amp;amp;amp; SVG Vector - Freebie  Supply"/>
                        <pic:cNvPicPr>
                          <a:picLocks noChangeAspect="1" noChangeArrowheads="1"/>
                        </pic:cNvPicPr>
                      </pic:nvPicPr>
                      <pic:blipFill>
                        <a:blip r:embed="rId3" cstate="print">
                          <a:alphaModFix amt="35000"/>
                          <a:extLst>
                            <a:ext uri="{28A0092B-C50C-407E-A947-70E740481C1C}">
                              <a14:useLocalDpi xmlns:a14="http://schemas.microsoft.com/office/drawing/2010/main" val="0"/>
                            </a:ext>
                          </a:extLst>
                        </a:blip>
                        <a:srcRect/>
                        <a:stretch>
                          <a:fillRect/>
                        </a:stretch>
                      </pic:blipFill>
                      <pic:spPr bwMode="auto">
                        <a:xfrm>
                          <a:off x="0" y="0"/>
                          <a:ext cx="619348" cy="619348"/>
                        </a:xfrm>
                        <a:prstGeom prst="rect">
                          <a:avLst/>
                        </a:prstGeom>
                        <a:noFill/>
                        <a:ln>
                          <a:noFill/>
                        </a:ln>
                      </pic:spPr>
                    </pic:pic>
                  </a:graphicData>
                </a:graphic>
              </wp:inline>
            </w:drawing>
          </w:r>
        </w:p>
      </w:tc>
    </w:tr>
  </w:tbl>
  <w:p w14:paraId="6E963E93" w14:textId="3C67F0F2" w:rsidR="00AB2657" w:rsidRPr="00AB2657" w:rsidRDefault="00AB2657" w:rsidP="00AB2657">
    <w:pPr>
      <w:pStyle w:val="Header"/>
      <w:jc w:val="center"/>
      <w:rPr>
        <w:color w:val="AEAAAA" w:themeColor="background2" w:themeShade="BF"/>
      </w:rPr>
    </w:pPr>
    <w:r w:rsidRPr="00AB2657">
      <w:rPr>
        <w:color w:val="AEAAAA" w:themeColor="background2" w:themeShade="BF"/>
      </w:rPr>
      <w:t xml:space="preserve">IMPLEMENTATION SCIENCE E-HUB </w:t>
    </w:r>
    <w:r w:rsidRPr="00AB2657">
      <w:rPr>
        <w:b/>
        <w:bCs/>
        <w:color w:val="AEAAAA" w:themeColor="background2" w:themeShade="BF"/>
      </w:rPr>
      <w:t>CASE STUDY</w:t>
    </w:r>
  </w:p>
  <w:p w14:paraId="642A619B" w14:textId="77777777" w:rsidR="00AB2657" w:rsidRDefault="00AB2657" w:rsidP="00AB26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5DD"/>
    <w:multiLevelType w:val="hybridMultilevel"/>
    <w:tmpl w:val="417206E6"/>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01C7F"/>
    <w:multiLevelType w:val="hybridMultilevel"/>
    <w:tmpl w:val="E180A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E64F91"/>
    <w:multiLevelType w:val="multilevel"/>
    <w:tmpl w:val="F810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32DA0"/>
    <w:multiLevelType w:val="hybridMultilevel"/>
    <w:tmpl w:val="E3082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9241E"/>
    <w:multiLevelType w:val="hybridMultilevel"/>
    <w:tmpl w:val="89482B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E846A3"/>
    <w:multiLevelType w:val="multilevel"/>
    <w:tmpl w:val="458A2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0B0D3E"/>
    <w:multiLevelType w:val="hybridMultilevel"/>
    <w:tmpl w:val="904C4E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DC3BEE"/>
    <w:multiLevelType w:val="multilevel"/>
    <w:tmpl w:val="F810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E1D0D"/>
    <w:multiLevelType w:val="multilevel"/>
    <w:tmpl w:val="F810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46616"/>
    <w:multiLevelType w:val="hybridMultilevel"/>
    <w:tmpl w:val="59302308"/>
    <w:lvl w:ilvl="0" w:tplc="6ED8C416">
      <w:start w:val="1"/>
      <w:numFmt w:val="bullet"/>
      <w:lvlText w:val=""/>
      <w:lvlJc w:val="left"/>
      <w:pPr>
        <w:ind w:left="720" w:hanging="360"/>
      </w:pPr>
      <w:rPr>
        <w:rFonts w:ascii="Wingdings" w:hAnsi="Wingdings" w:hint="default"/>
        <w:b/>
        <w:color w:val="FF874F" w:themeColor="accen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BB5155"/>
    <w:multiLevelType w:val="hybridMultilevel"/>
    <w:tmpl w:val="9AE4A002"/>
    <w:lvl w:ilvl="0" w:tplc="868E6B6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F54514"/>
    <w:multiLevelType w:val="hybridMultilevel"/>
    <w:tmpl w:val="A85E8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512676"/>
    <w:multiLevelType w:val="multilevel"/>
    <w:tmpl w:val="F810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265DB9"/>
    <w:multiLevelType w:val="hybridMultilevel"/>
    <w:tmpl w:val="92B00F6C"/>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170A7"/>
    <w:multiLevelType w:val="hybridMultilevel"/>
    <w:tmpl w:val="176CEEF8"/>
    <w:lvl w:ilvl="0" w:tplc="12F6BF02">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70811"/>
    <w:multiLevelType w:val="multilevel"/>
    <w:tmpl w:val="F810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B0464F"/>
    <w:multiLevelType w:val="hybridMultilevel"/>
    <w:tmpl w:val="33464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B4585F"/>
    <w:multiLevelType w:val="hybridMultilevel"/>
    <w:tmpl w:val="DF020CF0"/>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01145"/>
    <w:multiLevelType w:val="hybridMultilevel"/>
    <w:tmpl w:val="51DE0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133147"/>
    <w:multiLevelType w:val="hybridMultilevel"/>
    <w:tmpl w:val="5FC69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BE74D8"/>
    <w:multiLevelType w:val="multilevel"/>
    <w:tmpl w:val="8246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DE16B5"/>
    <w:multiLevelType w:val="hybridMultilevel"/>
    <w:tmpl w:val="BF9AF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684BF2"/>
    <w:multiLevelType w:val="hybridMultilevel"/>
    <w:tmpl w:val="70E2FFC8"/>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16672B"/>
    <w:multiLevelType w:val="multilevel"/>
    <w:tmpl w:val="F810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E55E7"/>
    <w:multiLevelType w:val="hybridMultilevel"/>
    <w:tmpl w:val="361411F4"/>
    <w:lvl w:ilvl="0" w:tplc="2D1A87A6">
      <w:start w:val="1"/>
      <w:numFmt w:val="bullet"/>
      <w:lvlText w:val=""/>
      <w:lvlJc w:val="left"/>
      <w:pPr>
        <w:ind w:left="720" w:hanging="360"/>
      </w:pPr>
      <w:rPr>
        <w:rFonts w:ascii="Wingdings" w:hAnsi="Wingdings" w:hint="default"/>
        <w:b/>
        <w:color w:val="FF874F" w:themeColor="accent1"/>
        <w:sz w:val="1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D782D"/>
    <w:multiLevelType w:val="hybridMultilevel"/>
    <w:tmpl w:val="1F6838C0"/>
    <w:lvl w:ilvl="0" w:tplc="6890B218">
      <w:start w:val="1"/>
      <w:numFmt w:val="bullet"/>
      <w:lvlText w:val=""/>
      <w:lvlJc w:val="left"/>
      <w:pPr>
        <w:ind w:left="720" w:hanging="360"/>
      </w:pPr>
      <w:rPr>
        <w:rFonts w:ascii="Wingdings" w:hAnsi="Wingdings" w:hint="default"/>
        <w:b/>
        <w:color w:val="FF874F" w:themeColor="accent1"/>
        <w:sz w:val="12"/>
        <w:szCs w:val="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B1B45"/>
    <w:multiLevelType w:val="multilevel"/>
    <w:tmpl w:val="CDBAE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322C51"/>
    <w:multiLevelType w:val="hybridMultilevel"/>
    <w:tmpl w:val="CFF2E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810B73"/>
    <w:multiLevelType w:val="hybridMultilevel"/>
    <w:tmpl w:val="C19C1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71417C"/>
    <w:multiLevelType w:val="multilevel"/>
    <w:tmpl w:val="F810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8773C8"/>
    <w:multiLevelType w:val="multilevel"/>
    <w:tmpl w:val="F810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6F7D31"/>
    <w:multiLevelType w:val="hybridMultilevel"/>
    <w:tmpl w:val="13749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AB1FE5"/>
    <w:multiLevelType w:val="hybridMultilevel"/>
    <w:tmpl w:val="A1108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3C2F28"/>
    <w:multiLevelType w:val="hybridMultilevel"/>
    <w:tmpl w:val="BA8C32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7135461"/>
    <w:multiLevelType w:val="hybridMultilevel"/>
    <w:tmpl w:val="55CC0ABA"/>
    <w:lvl w:ilvl="0" w:tplc="12F6BF02">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1C2E47"/>
    <w:multiLevelType w:val="hybridMultilevel"/>
    <w:tmpl w:val="4CCE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431987">
    <w:abstractNumId w:val="4"/>
  </w:num>
  <w:num w:numId="2" w16cid:durableId="1437479614">
    <w:abstractNumId w:val="13"/>
  </w:num>
  <w:num w:numId="3" w16cid:durableId="1770662379">
    <w:abstractNumId w:val="0"/>
  </w:num>
  <w:num w:numId="4" w16cid:durableId="2030792776">
    <w:abstractNumId w:val="24"/>
  </w:num>
  <w:num w:numId="5" w16cid:durableId="271205844">
    <w:abstractNumId w:val="25"/>
  </w:num>
  <w:num w:numId="6" w16cid:durableId="155266941">
    <w:abstractNumId w:val="34"/>
  </w:num>
  <w:num w:numId="7" w16cid:durableId="1506431607">
    <w:abstractNumId w:val="14"/>
  </w:num>
  <w:num w:numId="8" w16cid:durableId="495001922">
    <w:abstractNumId w:val="9"/>
  </w:num>
  <w:num w:numId="9" w16cid:durableId="2117482110">
    <w:abstractNumId w:val="35"/>
  </w:num>
  <w:num w:numId="10" w16cid:durableId="733048077">
    <w:abstractNumId w:val="22"/>
  </w:num>
  <w:num w:numId="11" w16cid:durableId="234096830">
    <w:abstractNumId w:val="17"/>
  </w:num>
  <w:num w:numId="12" w16cid:durableId="1124231520">
    <w:abstractNumId w:val="20"/>
  </w:num>
  <w:num w:numId="13" w16cid:durableId="1629584849">
    <w:abstractNumId w:val="33"/>
  </w:num>
  <w:num w:numId="14" w16cid:durableId="126700156">
    <w:abstractNumId w:val="10"/>
  </w:num>
  <w:num w:numId="15" w16cid:durableId="1979409068">
    <w:abstractNumId w:val="3"/>
  </w:num>
  <w:num w:numId="16" w16cid:durableId="777607479">
    <w:abstractNumId w:val="8"/>
  </w:num>
  <w:num w:numId="17" w16cid:durableId="1925214160">
    <w:abstractNumId w:val="26"/>
  </w:num>
  <w:num w:numId="18" w16cid:durableId="263926683">
    <w:abstractNumId w:val="30"/>
  </w:num>
  <w:num w:numId="19" w16cid:durableId="699282168">
    <w:abstractNumId w:val="23"/>
  </w:num>
  <w:num w:numId="20" w16cid:durableId="1135637615">
    <w:abstractNumId w:val="2"/>
  </w:num>
  <w:num w:numId="21" w16cid:durableId="931742711">
    <w:abstractNumId w:val="12"/>
  </w:num>
  <w:num w:numId="22" w16cid:durableId="1796176305">
    <w:abstractNumId w:val="7"/>
  </w:num>
  <w:num w:numId="23" w16cid:durableId="1579249074">
    <w:abstractNumId w:val="5"/>
  </w:num>
  <w:num w:numId="24" w16cid:durableId="1655597175">
    <w:abstractNumId w:val="31"/>
  </w:num>
  <w:num w:numId="25" w16cid:durableId="2132742829">
    <w:abstractNumId w:val="11"/>
  </w:num>
  <w:num w:numId="26" w16cid:durableId="629484314">
    <w:abstractNumId w:val="28"/>
  </w:num>
  <w:num w:numId="27" w16cid:durableId="2087337391">
    <w:abstractNumId w:val="29"/>
  </w:num>
  <w:num w:numId="28" w16cid:durableId="743647047">
    <w:abstractNumId w:val="15"/>
  </w:num>
  <w:num w:numId="29" w16cid:durableId="142629260">
    <w:abstractNumId w:val="6"/>
  </w:num>
  <w:num w:numId="30" w16cid:durableId="362679488">
    <w:abstractNumId w:val="27"/>
  </w:num>
  <w:num w:numId="31" w16cid:durableId="1669602483">
    <w:abstractNumId w:val="16"/>
  </w:num>
  <w:num w:numId="32" w16cid:durableId="1454597691">
    <w:abstractNumId w:val="19"/>
  </w:num>
  <w:num w:numId="33" w16cid:durableId="1307977558">
    <w:abstractNumId w:val="18"/>
  </w:num>
  <w:num w:numId="34" w16cid:durableId="726882772">
    <w:abstractNumId w:val="32"/>
  </w:num>
  <w:num w:numId="35" w16cid:durableId="1782450446">
    <w:abstractNumId w:val="1"/>
  </w:num>
  <w:num w:numId="36" w16cid:durableId="7930160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t00txd9jzaa9ved9xnprewwasfz05ad0pfx&quot;&gt;Smart2D&lt;record-ids&gt;&lt;item&gt;1&lt;/item&gt;&lt;item&gt;2&lt;/item&gt;&lt;item&gt;3&lt;/item&gt;&lt;item&gt;4&lt;/item&gt;&lt;item&gt;5&lt;/item&gt;&lt;item&gt;6&lt;/item&gt;&lt;/record-ids&gt;&lt;/item&gt;&lt;/Libraries&gt;"/>
  </w:docVars>
  <w:rsids>
    <w:rsidRoot w:val="00AB2657"/>
    <w:rsid w:val="00020A01"/>
    <w:rsid w:val="00025187"/>
    <w:rsid w:val="000313BF"/>
    <w:rsid w:val="00033577"/>
    <w:rsid w:val="00035D5F"/>
    <w:rsid w:val="000415C5"/>
    <w:rsid w:val="00047B7C"/>
    <w:rsid w:val="00060037"/>
    <w:rsid w:val="00071A4A"/>
    <w:rsid w:val="000752CA"/>
    <w:rsid w:val="00077EC5"/>
    <w:rsid w:val="00080230"/>
    <w:rsid w:val="00081817"/>
    <w:rsid w:val="00087DDE"/>
    <w:rsid w:val="000919C9"/>
    <w:rsid w:val="000970E5"/>
    <w:rsid w:val="000A2CC7"/>
    <w:rsid w:val="000A6F02"/>
    <w:rsid w:val="000B6AC9"/>
    <w:rsid w:val="000C4C15"/>
    <w:rsid w:val="001157CA"/>
    <w:rsid w:val="00120F85"/>
    <w:rsid w:val="00133B12"/>
    <w:rsid w:val="0016134C"/>
    <w:rsid w:val="00170FEF"/>
    <w:rsid w:val="00176AB2"/>
    <w:rsid w:val="0018305E"/>
    <w:rsid w:val="00194E78"/>
    <w:rsid w:val="001A1BA1"/>
    <w:rsid w:val="001A3791"/>
    <w:rsid w:val="001D4073"/>
    <w:rsid w:val="001D51D8"/>
    <w:rsid w:val="001E7BD4"/>
    <w:rsid w:val="001F0514"/>
    <w:rsid w:val="001F2D3B"/>
    <w:rsid w:val="00205FA6"/>
    <w:rsid w:val="0022676B"/>
    <w:rsid w:val="00227894"/>
    <w:rsid w:val="002313D6"/>
    <w:rsid w:val="00233E2F"/>
    <w:rsid w:val="00241C72"/>
    <w:rsid w:val="00255A0D"/>
    <w:rsid w:val="00273E30"/>
    <w:rsid w:val="002749D6"/>
    <w:rsid w:val="00274E1A"/>
    <w:rsid w:val="002757A4"/>
    <w:rsid w:val="00277FD0"/>
    <w:rsid w:val="00293A60"/>
    <w:rsid w:val="00295096"/>
    <w:rsid w:val="002A0253"/>
    <w:rsid w:val="002A148C"/>
    <w:rsid w:val="002A3061"/>
    <w:rsid w:val="002A30D9"/>
    <w:rsid w:val="002C59EB"/>
    <w:rsid w:val="002D0AC5"/>
    <w:rsid w:val="002D3896"/>
    <w:rsid w:val="002E3807"/>
    <w:rsid w:val="002F3171"/>
    <w:rsid w:val="00310221"/>
    <w:rsid w:val="003242A4"/>
    <w:rsid w:val="00331297"/>
    <w:rsid w:val="00335BF4"/>
    <w:rsid w:val="00337E49"/>
    <w:rsid w:val="0034440B"/>
    <w:rsid w:val="00344C35"/>
    <w:rsid w:val="003568C5"/>
    <w:rsid w:val="00361B3D"/>
    <w:rsid w:val="003868BC"/>
    <w:rsid w:val="003A0316"/>
    <w:rsid w:val="003C2012"/>
    <w:rsid w:val="003C6952"/>
    <w:rsid w:val="003D16FF"/>
    <w:rsid w:val="003E5C29"/>
    <w:rsid w:val="003F1C4B"/>
    <w:rsid w:val="003F1EFE"/>
    <w:rsid w:val="00404B2F"/>
    <w:rsid w:val="00410B0D"/>
    <w:rsid w:val="004130B4"/>
    <w:rsid w:val="004213DD"/>
    <w:rsid w:val="00424DCA"/>
    <w:rsid w:val="0043195C"/>
    <w:rsid w:val="004370EB"/>
    <w:rsid w:val="0043716B"/>
    <w:rsid w:val="004405BA"/>
    <w:rsid w:val="00456168"/>
    <w:rsid w:val="0045688D"/>
    <w:rsid w:val="004635B5"/>
    <w:rsid w:val="00464668"/>
    <w:rsid w:val="00476644"/>
    <w:rsid w:val="0048017D"/>
    <w:rsid w:val="00483756"/>
    <w:rsid w:val="004A61EA"/>
    <w:rsid w:val="004A6C2B"/>
    <w:rsid w:val="004B49AC"/>
    <w:rsid w:val="004C5A23"/>
    <w:rsid w:val="004D2639"/>
    <w:rsid w:val="004D60BF"/>
    <w:rsid w:val="004F58A9"/>
    <w:rsid w:val="0050771A"/>
    <w:rsid w:val="0051576D"/>
    <w:rsid w:val="00521C82"/>
    <w:rsid w:val="0053320B"/>
    <w:rsid w:val="00533453"/>
    <w:rsid w:val="00534C82"/>
    <w:rsid w:val="00550D15"/>
    <w:rsid w:val="0055399E"/>
    <w:rsid w:val="0055751F"/>
    <w:rsid w:val="00562062"/>
    <w:rsid w:val="00571F6D"/>
    <w:rsid w:val="00583D07"/>
    <w:rsid w:val="005919D5"/>
    <w:rsid w:val="005A016A"/>
    <w:rsid w:val="005A188D"/>
    <w:rsid w:val="005A5805"/>
    <w:rsid w:val="005A5EEC"/>
    <w:rsid w:val="005B10F0"/>
    <w:rsid w:val="005B28DE"/>
    <w:rsid w:val="005B4ADF"/>
    <w:rsid w:val="005B5133"/>
    <w:rsid w:val="005C1668"/>
    <w:rsid w:val="005C2002"/>
    <w:rsid w:val="005C6121"/>
    <w:rsid w:val="005D2DB8"/>
    <w:rsid w:val="005E2040"/>
    <w:rsid w:val="005E7B8C"/>
    <w:rsid w:val="005F22F5"/>
    <w:rsid w:val="00616EB6"/>
    <w:rsid w:val="0061789C"/>
    <w:rsid w:val="00623B38"/>
    <w:rsid w:val="006250CD"/>
    <w:rsid w:val="006273E2"/>
    <w:rsid w:val="00630BE0"/>
    <w:rsid w:val="00631FC1"/>
    <w:rsid w:val="00634AAD"/>
    <w:rsid w:val="00655A9F"/>
    <w:rsid w:val="006711C1"/>
    <w:rsid w:val="0067283F"/>
    <w:rsid w:val="00685AB4"/>
    <w:rsid w:val="006B0C82"/>
    <w:rsid w:val="006B39BD"/>
    <w:rsid w:val="006B3FD3"/>
    <w:rsid w:val="006B7864"/>
    <w:rsid w:val="006C13AC"/>
    <w:rsid w:val="006C7032"/>
    <w:rsid w:val="006D1A22"/>
    <w:rsid w:val="006D7938"/>
    <w:rsid w:val="006E00F1"/>
    <w:rsid w:val="006E3686"/>
    <w:rsid w:val="006E37F1"/>
    <w:rsid w:val="006F35A2"/>
    <w:rsid w:val="00703AC8"/>
    <w:rsid w:val="00705C22"/>
    <w:rsid w:val="00706A07"/>
    <w:rsid w:val="0070700B"/>
    <w:rsid w:val="0072352B"/>
    <w:rsid w:val="00725052"/>
    <w:rsid w:val="00731578"/>
    <w:rsid w:val="00736484"/>
    <w:rsid w:val="00753877"/>
    <w:rsid w:val="00754116"/>
    <w:rsid w:val="00756BF9"/>
    <w:rsid w:val="0076476E"/>
    <w:rsid w:val="00765356"/>
    <w:rsid w:val="00766B3D"/>
    <w:rsid w:val="00777393"/>
    <w:rsid w:val="0078334E"/>
    <w:rsid w:val="0078778E"/>
    <w:rsid w:val="00793E41"/>
    <w:rsid w:val="007A1451"/>
    <w:rsid w:val="007A6893"/>
    <w:rsid w:val="007B473B"/>
    <w:rsid w:val="007B709D"/>
    <w:rsid w:val="007C0D41"/>
    <w:rsid w:val="007D5B09"/>
    <w:rsid w:val="007F487A"/>
    <w:rsid w:val="00814F24"/>
    <w:rsid w:val="008225BB"/>
    <w:rsid w:val="00824B07"/>
    <w:rsid w:val="00825B88"/>
    <w:rsid w:val="00830A79"/>
    <w:rsid w:val="00833CC0"/>
    <w:rsid w:val="00855CF6"/>
    <w:rsid w:val="00860D33"/>
    <w:rsid w:val="008613EB"/>
    <w:rsid w:val="008928BF"/>
    <w:rsid w:val="008959B1"/>
    <w:rsid w:val="00897A76"/>
    <w:rsid w:val="008A27B0"/>
    <w:rsid w:val="008A2E41"/>
    <w:rsid w:val="008A3393"/>
    <w:rsid w:val="008A5F9F"/>
    <w:rsid w:val="008A76C2"/>
    <w:rsid w:val="008C4BB4"/>
    <w:rsid w:val="008E38C7"/>
    <w:rsid w:val="008E3BFD"/>
    <w:rsid w:val="008E498A"/>
    <w:rsid w:val="008F0B45"/>
    <w:rsid w:val="008F52B0"/>
    <w:rsid w:val="0091499B"/>
    <w:rsid w:val="00920C49"/>
    <w:rsid w:val="00933662"/>
    <w:rsid w:val="00933BF6"/>
    <w:rsid w:val="00937448"/>
    <w:rsid w:val="0094005B"/>
    <w:rsid w:val="009452FF"/>
    <w:rsid w:val="00954075"/>
    <w:rsid w:val="00957CB6"/>
    <w:rsid w:val="0096540B"/>
    <w:rsid w:val="0097411D"/>
    <w:rsid w:val="00986E7C"/>
    <w:rsid w:val="00987B1D"/>
    <w:rsid w:val="009C08FB"/>
    <w:rsid w:val="009D30EF"/>
    <w:rsid w:val="009D5D86"/>
    <w:rsid w:val="009E5C63"/>
    <w:rsid w:val="009F1869"/>
    <w:rsid w:val="00A02BFA"/>
    <w:rsid w:val="00A11B90"/>
    <w:rsid w:val="00A12A86"/>
    <w:rsid w:val="00A1700B"/>
    <w:rsid w:val="00A207CF"/>
    <w:rsid w:val="00A273C7"/>
    <w:rsid w:val="00A27F92"/>
    <w:rsid w:val="00A33673"/>
    <w:rsid w:val="00A41253"/>
    <w:rsid w:val="00A44CAB"/>
    <w:rsid w:val="00A57310"/>
    <w:rsid w:val="00A62F93"/>
    <w:rsid w:val="00A704A2"/>
    <w:rsid w:val="00A77B3D"/>
    <w:rsid w:val="00A858ED"/>
    <w:rsid w:val="00AA7880"/>
    <w:rsid w:val="00AB2657"/>
    <w:rsid w:val="00AB31BF"/>
    <w:rsid w:val="00AB5B73"/>
    <w:rsid w:val="00AC1DB0"/>
    <w:rsid w:val="00AC5494"/>
    <w:rsid w:val="00AC74A1"/>
    <w:rsid w:val="00AD55D4"/>
    <w:rsid w:val="00AD684A"/>
    <w:rsid w:val="00AE092E"/>
    <w:rsid w:val="00AE0BF1"/>
    <w:rsid w:val="00AE3D1D"/>
    <w:rsid w:val="00B019DF"/>
    <w:rsid w:val="00B03D09"/>
    <w:rsid w:val="00B11393"/>
    <w:rsid w:val="00B12DBF"/>
    <w:rsid w:val="00B17235"/>
    <w:rsid w:val="00B23276"/>
    <w:rsid w:val="00B31BA8"/>
    <w:rsid w:val="00B40019"/>
    <w:rsid w:val="00B43603"/>
    <w:rsid w:val="00B4701B"/>
    <w:rsid w:val="00B563CA"/>
    <w:rsid w:val="00B57FFA"/>
    <w:rsid w:val="00B6023B"/>
    <w:rsid w:val="00B61480"/>
    <w:rsid w:val="00B6524A"/>
    <w:rsid w:val="00B732A9"/>
    <w:rsid w:val="00B8338A"/>
    <w:rsid w:val="00B92581"/>
    <w:rsid w:val="00BA3319"/>
    <w:rsid w:val="00BC22E6"/>
    <w:rsid w:val="00BD112A"/>
    <w:rsid w:val="00BD4452"/>
    <w:rsid w:val="00BE228A"/>
    <w:rsid w:val="00BE7A96"/>
    <w:rsid w:val="00BF10EA"/>
    <w:rsid w:val="00C008C5"/>
    <w:rsid w:val="00C05DBA"/>
    <w:rsid w:val="00C11597"/>
    <w:rsid w:val="00C272FF"/>
    <w:rsid w:val="00C337F5"/>
    <w:rsid w:val="00C34CB1"/>
    <w:rsid w:val="00C57BF4"/>
    <w:rsid w:val="00C646C4"/>
    <w:rsid w:val="00C9233B"/>
    <w:rsid w:val="00CA529D"/>
    <w:rsid w:val="00CB67F7"/>
    <w:rsid w:val="00CD238B"/>
    <w:rsid w:val="00CD62E1"/>
    <w:rsid w:val="00CE7467"/>
    <w:rsid w:val="00D05616"/>
    <w:rsid w:val="00D06466"/>
    <w:rsid w:val="00D074EF"/>
    <w:rsid w:val="00D12689"/>
    <w:rsid w:val="00D13CFB"/>
    <w:rsid w:val="00D20882"/>
    <w:rsid w:val="00D2441F"/>
    <w:rsid w:val="00D32DCF"/>
    <w:rsid w:val="00D44229"/>
    <w:rsid w:val="00D4722C"/>
    <w:rsid w:val="00D5254B"/>
    <w:rsid w:val="00D63AC3"/>
    <w:rsid w:val="00D6679A"/>
    <w:rsid w:val="00D723FF"/>
    <w:rsid w:val="00D74763"/>
    <w:rsid w:val="00D778E6"/>
    <w:rsid w:val="00D83326"/>
    <w:rsid w:val="00D90B19"/>
    <w:rsid w:val="00D92B3E"/>
    <w:rsid w:val="00DA3115"/>
    <w:rsid w:val="00DA3838"/>
    <w:rsid w:val="00DD7236"/>
    <w:rsid w:val="00DE0118"/>
    <w:rsid w:val="00DE2EF2"/>
    <w:rsid w:val="00DE517B"/>
    <w:rsid w:val="00DF1B0C"/>
    <w:rsid w:val="00DF68E7"/>
    <w:rsid w:val="00DF6E3D"/>
    <w:rsid w:val="00E058BE"/>
    <w:rsid w:val="00E10BBC"/>
    <w:rsid w:val="00E13D11"/>
    <w:rsid w:val="00E14909"/>
    <w:rsid w:val="00E37970"/>
    <w:rsid w:val="00E4006A"/>
    <w:rsid w:val="00E42C2D"/>
    <w:rsid w:val="00E44E6F"/>
    <w:rsid w:val="00E47225"/>
    <w:rsid w:val="00E50FD2"/>
    <w:rsid w:val="00E55076"/>
    <w:rsid w:val="00E56F0B"/>
    <w:rsid w:val="00E609DB"/>
    <w:rsid w:val="00E60CAC"/>
    <w:rsid w:val="00E65AAB"/>
    <w:rsid w:val="00E83E77"/>
    <w:rsid w:val="00E848EF"/>
    <w:rsid w:val="00E86064"/>
    <w:rsid w:val="00E86CEC"/>
    <w:rsid w:val="00E91FD4"/>
    <w:rsid w:val="00EC20AF"/>
    <w:rsid w:val="00EC3423"/>
    <w:rsid w:val="00ED43FE"/>
    <w:rsid w:val="00ED4B04"/>
    <w:rsid w:val="00EE3F21"/>
    <w:rsid w:val="00EE5554"/>
    <w:rsid w:val="00F10E66"/>
    <w:rsid w:val="00F30AE0"/>
    <w:rsid w:val="00F3285C"/>
    <w:rsid w:val="00F32A9D"/>
    <w:rsid w:val="00F33829"/>
    <w:rsid w:val="00F411F7"/>
    <w:rsid w:val="00F516E3"/>
    <w:rsid w:val="00F5736B"/>
    <w:rsid w:val="00F67C6F"/>
    <w:rsid w:val="00F7197C"/>
    <w:rsid w:val="00F71CFC"/>
    <w:rsid w:val="00F8610A"/>
    <w:rsid w:val="00F91284"/>
    <w:rsid w:val="00FB1542"/>
    <w:rsid w:val="00FB7A22"/>
    <w:rsid w:val="00FB7DE0"/>
    <w:rsid w:val="00FC0011"/>
    <w:rsid w:val="00FD695D"/>
    <w:rsid w:val="00FF7D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AD"/>
  <w15:chartTrackingRefBased/>
  <w15:docId w15:val="{04C385A0-6548-4017-B04A-0FC5090A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657"/>
    <w:pPr>
      <w:spacing w:after="160" w:line="259" w:lineRule="auto"/>
    </w:pPr>
    <w:rPr>
      <w:rFonts w:eastAsia="SimSun"/>
      <w:lang w:val="en-AU" w:eastAsia="en-US"/>
    </w:rPr>
  </w:style>
  <w:style w:type="paragraph" w:styleId="Heading1">
    <w:name w:val="heading 1"/>
    <w:basedOn w:val="Normal"/>
    <w:next w:val="Normal"/>
    <w:link w:val="Heading1Char"/>
    <w:uiPriority w:val="9"/>
    <w:qFormat/>
    <w:rsid w:val="00A33673"/>
    <w:pPr>
      <w:keepNext/>
      <w:keepLines/>
      <w:pBdr>
        <w:bottom w:val="single" w:sz="24" w:space="1" w:color="FF874F" w:themeColor="accent1"/>
      </w:pBdr>
      <w:spacing w:before="240"/>
      <w:outlineLvl w:val="0"/>
    </w:pPr>
    <w:rPr>
      <w:rFonts w:eastAsiaTheme="majorEastAsia" w:cstheme="majorBidi"/>
      <w:b/>
      <w:color w:val="73908F" w:themeColor="accent6"/>
      <w:sz w:val="32"/>
      <w:szCs w:val="32"/>
    </w:rPr>
  </w:style>
  <w:style w:type="paragraph" w:styleId="Heading2">
    <w:name w:val="heading 2"/>
    <w:basedOn w:val="Normal"/>
    <w:next w:val="Normal"/>
    <w:link w:val="Heading2Char"/>
    <w:uiPriority w:val="9"/>
    <w:unhideWhenUsed/>
    <w:qFormat/>
    <w:rsid w:val="00A33673"/>
    <w:pPr>
      <w:keepNext/>
      <w:keepLines/>
      <w:pBdr>
        <w:bottom w:val="single" w:sz="18" w:space="1" w:color="FF874F" w:themeColor="accent1"/>
      </w:pBdr>
      <w:spacing w:before="120"/>
      <w:outlineLvl w:val="1"/>
    </w:pPr>
    <w:rPr>
      <w:rFonts w:eastAsiaTheme="majorEastAsia" w:cstheme="majorBidi"/>
      <w:b/>
      <w:color w:val="73908F" w:themeColor="accent6"/>
      <w:sz w:val="28"/>
      <w:szCs w:val="26"/>
    </w:rPr>
  </w:style>
  <w:style w:type="paragraph" w:styleId="Heading3">
    <w:name w:val="heading 3"/>
    <w:basedOn w:val="Normal"/>
    <w:next w:val="Normal"/>
    <w:link w:val="Heading3Char"/>
    <w:uiPriority w:val="9"/>
    <w:unhideWhenUsed/>
    <w:qFormat/>
    <w:rsid w:val="00A33673"/>
    <w:pPr>
      <w:keepNext/>
      <w:keepLines/>
      <w:pBdr>
        <w:top w:val="single" w:sz="12" w:space="1" w:color="FF874F" w:themeColor="accent1"/>
      </w:pBdr>
      <w:spacing w:before="120"/>
      <w:outlineLvl w:val="2"/>
    </w:pPr>
    <w:rPr>
      <w:rFonts w:eastAsiaTheme="majorEastAsia" w:cstheme="majorBidi"/>
      <w:b/>
      <w:color w:val="73908F" w:themeColor="accent6"/>
      <w:sz w:val="24"/>
      <w:szCs w:val="24"/>
    </w:rPr>
  </w:style>
  <w:style w:type="paragraph" w:styleId="Heading4">
    <w:name w:val="heading 4"/>
    <w:basedOn w:val="Normal"/>
    <w:next w:val="Normal"/>
    <w:link w:val="Heading4Char"/>
    <w:uiPriority w:val="9"/>
    <w:unhideWhenUsed/>
    <w:qFormat/>
    <w:rsid w:val="00A33673"/>
    <w:pPr>
      <w:keepNext/>
      <w:keepLines/>
      <w:pBdr>
        <w:top w:val="single" w:sz="6" w:space="1" w:color="FF874F" w:themeColor="accent1"/>
      </w:pBdr>
      <w:spacing w:before="120"/>
      <w:outlineLvl w:val="3"/>
    </w:pPr>
    <w:rPr>
      <w:rFonts w:eastAsiaTheme="majorEastAsia" w:cstheme="majorBidi"/>
      <w:i/>
      <w:iCs/>
      <w:color w:val="73908F" w:themeColor="accent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CD-Heading1">
    <w:name w:val="GACD-Heading1"/>
    <w:next w:val="Normal"/>
    <w:link w:val="GACD-Heading1Char"/>
    <w:autoRedefine/>
    <w:qFormat/>
    <w:rsid w:val="00BA3319"/>
    <w:pPr>
      <w:pBdr>
        <w:bottom w:val="single" w:sz="4" w:space="1" w:color="FF874F"/>
      </w:pBdr>
    </w:pPr>
    <w:rPr>
      <w:b/>
      <w:color w:val="75908F"/>
      <w:sz w:val="32"/>
    </w:rPr>
  </w:style>
  <w:style w:type="character" w:customStyle="1" w:styleId="GACD-Heading1Char">
    <w:name w:val="GACD-Heading1 Char"/>
    <w:basedOn w:val="DefaultParagraphFont"/>
    <w:link w:val="GACD-Heading1"/>
    <w:rsid w:val="00BA3319"/>
    <w:rPr>
      <w:b/>
      <w:color w:val="75908F"/>
      <w:sz w:val="32"/>
    </w:rPr>
  </w:style>
  <w:style w:type="paragraph" w:customStyle="1" w:styleId="GACD-Heading2">
    <w:name w:val="GACD-Heading2"/>
    <w:basedOn w:val="Heading2"/>
    <w:next w:val="Normal"/>
    <w:link w:val="GACD-Heading2Char"/>
    <w:autoRedefine/>
    <w:qFormat/>
    <w:rsid w:val="00293A60"/>
    <w:pPr>
      <w:jc w:val="both"/>
    </w:pPr>
  </w:style>
  <w:style w:type="character" w:customStyle="1" w:styleId="GACD-Heading2Char">
    <w:name w:val="GACD-Heading2 Char"/>
    <w:basedOn w:val="GACD-Heading1Char"/>
    <w:link w:val="GACD-Heading2"/>
    <w:rsid w:val="00293A60"/>
    <w:rPr>
      <w:rFonts w:eastAsiaTheme="majorEastAsia" w:cstheme="majorBidi"/>
      <w:b/>
      <w:color w:val="73908F" w:themeColor="accent6"/>
      <w:sz w:val="28"/>
      <w:szCs w:val="26"/>
      <w:lang w:val="en-AU" w:eastAsia="en-US"/>
    </w:rPr>
  </w:style>
  <w:style w:type="paragraph" w:customStyle="1" w:styleId="GACD-Heading3">
    <w:name w:val="GACD-Heading3"/>
    <w:basedOn w:val="GACD-Heading1"/>
    <w:next w:val="Normal"/>
    <w:link w:val="GACD-Heading3Char"/>
    <w:autoRedefine/>
    <w:qFormat/>
    <w:rsid w:val="00BA3319"/>
    <w:pPr>
      <w:pBdr>
        <w:top w:val="single" w:sz="4" w:space="1" w:color="FF874F"/>
        <w:bottom w:val="none" w:sz="0" w:space="0" w:color="auto"/>
      </w:pBdr>
      <w:ind w:left="360" w:hanging="360"/>
    </w:pPr>
    <w:rPr>
      <w:sz w:val="24"/>
    </w:rPr>
  </w:style>
  <w:style w:type="character" w:customStyle="1" w:styleId="GACD-Heading3Char">
    <w:name w:val="GACD-Heading3 Char"/>
    <w:basedOn w:val="GACD-Heading1Char"/>
    <w:link w:val="GACD-Heading3"/>
    <w:rsid w:val="00BA3319"/>
    <w:rPr>
      <w:b/>
      <w:color w:val="75908F"/>
      <w:sz w:val="24"/>
    </w:rPr>
  </w:style>
  <w:style w:type="paragraph" w:styleId="Header">
    <w:name w:val="header"/>
    <w:basedOn w:val="Normal"/>
    <w:link w:val="HeaderChar"/>
    <w:uiPriority w:val="99"/>
    <w:unhideWhenUsed/>
    <w:rsid w:val="00A33673"/>
    <w:pPr>
      <w:tabs>
        <w:tab w:val="center" w:pos="4513"/>
        <w:tab w:val="right" w:pos="9026"/>
      </w:tabs>
      <w:spacing w:after="0"/>
    </w:pPr>
  </w:style>
  <w:style w:type="character" w:customStyle="1" w:styleId="HeaderChar">
    <w:name w:val="Header Char"/>
    <w:basedOn w:val="DefaultParagraphFont"/>
    <w:link w:val="Header"/>
    <w:uiPriority w:val="99"/>
    <w:rsid w:val="00A33673"/>
  </w:style>
  <w:style w:type="paragraph" w:styleId="Footer">
    <w:name w:val="footer"/>
    <w:basedOn w:val="Normal"/>
    <w:link w:val="FooterChar"/>
    <w:uiPriority w:val="99"/>
    <w:unhideWhenUsed/>
    <w:rsid w:val="00A33673"/>
    <w:pPr>
      <w:tabs>
        <w:tab w:val="center" w:pos="4513"/>
        <w:tab w:val="right" w:pos="9026"/>
      </w:tabs>
      <w:spacing w:after="0"/>
    </w:pPr>
  </w:style>
  <w:style w:type="character" w:customStyle="1" w:styleId="FooterChar">
    <w:name w:val="Footer Char"/>
    <w:basedOn w:val="DefaultParagraphFont"/>
    <w:link w:val="Footer"/>
    <w:uiPriority w:val="99"/>
    <w:rsid w:val="00A33673"/>
  </w:style>
  <w:style w:type="character" w:customStyle="1" w:styleId="Heading1Char">
    <w:name w:val="Heading 1 Char"/>
    <w:basedOn w:val="DefaultParagraphFont"/>
    <w:link w:val="Heading1"/>
    <w:uiPriority w:val="9"/>
    <w:rsid w:val="00A33673"/>
    <w:rPr>
      <w:rFonts w:eastAsiaTheme="majorEastAsia" w:cstheme="majorBidi"/>
      <w:b/>
      <w:color w:val="73908F" w:themeColor="accent6"/>
      <w:sz w:val="32"/>
      <w:szCs w:val="32"/>
    </w:rPr>
  </w:style>
  <w:style w:type="character" w:customStyle="1" w:styleId="Heading2Char">
    <w:name w:val="Heading 2 Char"/>
    <w:basedOn w:val="DefaultParagraphFont"/>
    <w:link w:val="Heading2"/>
    <w:uiPriority w:val="9"/>
    <w:rsid w:val="00A33673"/>
    <w:rPr>
      <w:rFonts w:eastAsiaTheme="majorEastAsia" w:cstheme="majorBidi"/>
      <w:b/>
      <w:color w:val="73908F" w:themeColor="accent6"/>
      <w:sz w:val="28"/>
      <w:szCs w:val="26"/>
    </w:rPr>
  </w:style>
  <w:style w:type="character" w:customStyle="1" w:styleId="Heading3Char">
    <w:name w:val="Heading 3 Char"/>
    <w:basedOn w:val="DefaultParagraphFont"/>
    <w:link w:val="Heading3"/>
    <w:uiPriority w:val="9"/>
    <w:rsid w:val="00A33673"/>
    <w:rPr>
      <w:rFonts w:eastAsiaTheme="majorEastAsia" w:cstheme="majorBidi"/>
      <w:b/>
      <w:color w:val="73908F" w:themeColor="accent6"/>
      <w:sz w:val="24"/>
      <w:szCs w:val="24"/>
    </w:rPr>
  </w:style>
  <w:style w:type="character" w:customStyle="1" w:styleId="Heading4Char">
    <w:name w:val="Heading 4 Char"/>
    <w:basedOn w:val="DefaultParagraphFont"/>
    <w:link w:val="Heading4"/>
    <w:uiPriority w:val="9"/>
    <w:rsid w:val="00A33673"/>
    <w:rPr>
      <w:rFonts w:eastAsiaTheme="majorEastAsia" w:cstheme="majorBidi"/>
      <w:i/>
      <w:iCs/>
      <w:color w:val="73908F" w:themeColor="accent6"/>
      <w:sz w:val="24"/>
    </w:rPr>
  </w:style>
  <w:style w:type="character" w:styleId="Hyperlink">
    <w:name w:val="Hyperlink"/>
    <w:basedOn w:val="DefaultParagraphFont"/>
    <w:uiPriority w:val="99"/>
    <w:unhideWhenUsed/>
    <w:rsid w:val="00AB2657"/>
    <w:rPr>
      <w:color w:val="5B9BD5" w:themeColor="hyperlink"/>
      <w:u w:val="single"/>
    </w:rPr>
  </w:style>
  <w:style w:type="paragraph" w:styleId="ListParagraph">
    <w:name w:val="List Paragraph"/>
    <w:basedOn w:val="Normal"/>
    <w:uiPriority w:val="34"/>
    <w:qFormat/>
    <w:rsid w:val="00AB2657"/>
    <w:pPr>
      <w:ind w:left="720"/>
      <w:contextualSpacing/>
    </w:pPr>
  </w:style>
  <w:style w:type="character" w:styleId="Strong">
    <w:name w:val="Strong"/>
    <w:basedOn w:val="DefaultParagraphFont"/>
    <w:uiPriority w:val="22"/>
    <w:qFormat/>
    <w:rsid w:val="006D7938"/>
    <w:rPr>
      <w:b/>
      <w:bCs/>
    </w:rPr>
  </w:style>
  <w:style w:type="table" w:styleId="TableGrid">
    <w:name w:val="Table Grid"/>
    <w:basedOn w:val="TableNormal"/>
    <w:uiPriority w:val="39"/>
    <w:rsid w:val="007B47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05BA"/>
    <w:rPr>
      <w:color w:val="605E5C"/>
      <w:shd w:val="clear" w:color="auto" w:fill="E1DFDD"/>
    </w:rPr>
  </w:style>
  <w:style w:type="character" w:styleId="CommentReference">
    <w:name w:val="annotation reference"/>
    <w:basedOn w:val="DefaultParagraphFont"/>
    <w:uiPriority w:val="99"/>
    <w:semiHidden/>
    <w:unhideWhenUsed/>
    <w:rsid w:val="003E5C29"/>
    <w:rPr>
      <w:sz w:val="16"/>
      <w:szCs w:val="16"/>
    </w:rPr>
  </w:style>
  <w:style w:type="paragraph" w:styleId="CommentText">
    <w:name w:val="annotation text"/>
    <w:basedOn w:val="Normal"/>
    <w:link w:val="CommentTextChar"/>
    <w:uiPriority w:val="99"/>
    <w:unhideWhenUsed/>
    <w:rsid w:val="003E5C29"/>
    <w:pPr>
      <w:spacing w:line="240" w:lineRule="auto"/>
    </w:pPr>
    <w:rPr>
      <w:sz w:val="20"/>
      <w:szCs w:val="20"/>
    </w:rPr>
  </w:style>
  <w:style w:type="character" w:customStyle="1" w:styleId="CommentTextChar">
    <w:name w:val="Comment Text Char"/>
    <w:basedOn w:val="DefaultParagraphFont"/>
    <w:link w:val="CommentText"/>
    <w:uiPriority w:val="99"/>
    <w:rsid w:val="003E5C29"/>
    <w:rPr>
      <w:rFonts w:eastAsia="SimSun"/>
      <w:sz w:val="20"/>
      <w:szCs w:val="20"/>
      <w:lang w:val="en-AU" w:eastAsia="en-US"/>
    </w:rPr>
  </w:style>
  <w:style w:type="paragraph" w:styleId="CommentSubject">
    <w:name w:val="annotation subject"/>
    <w:basedOn w:val="CommentText"/>
    <w:next w:val="CommentText"/>
    <w:link w:val="CommentSubjectChar"/>
    <w:uiPriority w:val="99"/>
    <w:semiHidden/>
    <w:unhideWhenUsed/>
    <w:rsid w:val="003E5C29"/>
    <w:rPr>
      <w:b/>
      <w:bCs/>
    </w:rPr>
  </w:style>
  <w:style w:type="character" w:customStyle="1" w:styleId="CommentSubjectChar">
    <w:name w:val="Comment Subject Char"/>
    <w:basedOn w:val="CommentTextChar"/>
    <w:link w:val="CommentSubject"/>
    <w:uiPriority w:val="99"/>
    <w:semiHidden/>
    <w:rsid w:val="003E5C29"/>
    <w:rPr>
      <w:rFonts w:eastAsia="SimSun"/>
      <w:b/>
      <w:bCs/>
      <w:sz w:val="20"/>
      <w:szCs w:val="20"/>
      <w:lang w:val="en-AU" w:eastAsia="en-US"/>
    </w:rPr>
  </w:style>
  <w:style w:type="paragraph" w:styleId="BalloonText">
    <w:name w:val="Balloon Text"/>
    <w:basedOn w:val="Normal"/>
    <w:link w:val="BalloonTextChar"/>
    <w:uiPriority w:val="99"/>
    <w:semiHidden/>
    <w:unhideWhenUsed/>
    <w:rsid w:val="00AD5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5D4"/>
    <w:rPr>
      <w:rFonts w:ascii="Segoe UI" w:eastAsia="SimSun" w:hAnsi="Segoe UI" w:cs="Segoe UI"/>
      <w:sz w:val="18"/>
      <w:szCs w:val="18"/>
      <w:lang w:val="en-AU" w:eastAsia="en-US"/>
    </w:rPr>
  </w:style>
  <w:style w:type="paragraph" w:styleId="Revision">
    <w:name w:val="Revision"/>
    <w:hidden/>
    <w:uiPriority w:val="99"/>
    <w:semiHidden/>
    <w:rsid w:val="004A6C2B"/>
    <w:pPr>
      <w:spacing w:after="0"/>
    </w:pPr>
    <w:rPr>
      <w:rFonts w:eastAsia="SimSun"/>
      <w:lang w:val="en-AU" w:eastAsia="en-US"/>
    </w:rPr>
  </w:style>
  <w:style w:type="paragraph" w:customStyle="1" w:styleId="EndNoteBibliographyTitle">
    <w:name w:val="EndNote Bibliography Title"/>
    <w:basedOn w:val="Normal"/>
    <w:link w:val="EndNoteBibliographyTitleChar"/>
    <w:rsid w:val="004130B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130B4"/>
    <w:rPr>
      <w:rFonts w:ascii="Calibri" w:eastAsia="SimSun" w:hAnsi="Calibri" w:cs="Calibri"/>
      <w:noProof/>
      <w:lang w:val="en-US" w:eastAsia="en-US"/>
    </w:rPr>
  </w:style>
  <w:style w:type="paragraph" w:customStyle="1" w:styleId="EndNoteBibliography">
    <w:name w:val="EndNote Bibliography"/>
    <w:basedOn w:val="Normal"/>
    <w:link w:val="EndNoteBibliographyChar"/>
    <w:rsid w:val="004130B4"/>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4130B4"/>
    <w:rPr>
      <w:rFonts w:ascii="Calibri" w:eastAsia="SimSun" w:hAnsi="Calibri" w:cs="Calibri"/>
      <w:noProof/>
      <w:lang w:val="en-US" w:eastAsia="en-US"/>
    </w:rPr>
  </w:style>
  <w:style w:type="paragraph" w:styleId="NormalWeb">
    <w:name w:val="Normal (Web)"/>
    <w:basedOn w:val="Normal"/>
    <w:uiPriority w:val="99"/>
    <w:unhideWhenUsed/>
    <w:rsid w:val="00833CC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A62F93"/>
    <w:rPr>
      <w:color w:val="8496B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90599">
      <w:bodyDiv w:val="1"/>
      <w:marLeft w:val="0"/>
      <w:marRight w:val="0"/>
      <w:marTop w:val="0"/>
      <w:marBottom w:val="0"/>
      <w:divBdr>
        <w:top w:val="none" w:sz="0" w:space="0" w:color="auto"/>
        <w:left w:val="none" w:sz="0" w:space="0" w:color="auto"/>
        <w:bottom w:val="none" w:sz="0" w:space="0" w:color="auto"/>
        <w:right w:val="none" w:sz="0" w:space="0" w:color="auto"/>
      </w:divBdr>
    </w:div>
    <w:div w:id="972636443">
      <w:bodyDiv w:val="1"/>
      <w:marLeft w:val="0"/>
      <w:marRight w:val="0"/>
      <w:marTop w:val="0"/>
      <w:marBottom w:val="0"/>
      <w:divBdr>
        <w:top w:val="none" w:sz="0" w:space="0" w:color="auto"/>
        <w:left w:val="none" w:sz="0" w:space="0" w:color="auto"/>
        <w:bottom w:val="none" w:sz="0" w:space="0" w:color="auto"/>
        <w:right w:val="none" w:sz="0" w:space="0" w:color="auto"/>
      </w:divBdr>
    </w:div>
    <w:div w:id="1425957358">
      <w:bodyDiv w:val="1"/>
      <w:marLeft w:val="0"/>
      <w:marRight w:val="0"/>
      <w:marTop w:val="0"/>
      <w:marBottom w:val="0"/>
      <w:divBdr>
        <w:top w:val="none" w:sz="0" w:space="0" w:color="auto"/>
        <w:left w:val="none" w:sz="0" w:space="0" w:color="auto"/>
        <w:bottom w:val="none" w:sz="0" w:space="0" w:color="auto"/>
        <w:right w:val="none" w:sz="0" w:space="0" w:color="auto"/>
      </w:divBdr>
    </w:div>
    <w:div w:id="1812474470">
      <w:bodyDiv w:val="1"/>
      <w:marLeft w:val="0"/>
      <w:marRight w:val="0"/>
      <w:marTop w:val="0"/>
      <w:marBottom w:val="0"/>
      <w:divBdr>
        <w:top w:val="none" w:sz="0" w:space="0" w:color="auto"/>
        <w:left w:val="none" w:sz="0" w:space="0" w:color="auto"/>
        <w:bottom w:val="none" w:sz="0" w:space="0" w:color="auto"/>
        <w:right w:val="none" w:sz="0" w:space="0" w:color="auto"/>
      </w:divBdr>
    </w:div>
    <w:div w:id="1956789120">
      <w:bodyDiv w:val="1"/>
      <w:marLeft w:val="0"/>
      <w:marRight w:val="0"/>
      <w:marTop w:val="0"/>
      <w:marBottom w:val="0"/>
      <w:divBdr>
        <w:top w:val="none" w:sz="0" w:space="0" w:color="auto"/>
        <w:left w:val="none" w:sz="0" w:space="0" w:color="auto"/>
        <w:bottom w:val="none" w:sz="0" w:space="0" w:color="auto"/>
        <w:right w:val="none" w:sz="0" w:space="0" w:color="auto"/>
      </w:divBdr>
    </w:div>
    <w:div w:id="203564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image" Target="media/image7.svg"/><Relationship Id="rId26" Type="http://schemas.openxmlformats.org/officeDocument/2006/relationships/hyperlink" Target="http://linkinghub.elsevier.com/retrieve/pii/S1871519218316585" TargetMode="External"/><Relationship Id="rId39" Type="http://schemas.openxmlformats.org/officeDocument/2006/relationships/theme" Target="theme/theme1.xml"/><Relationship Id="rId21" Type="http://schemas.openxmlformats.org/officeDocument/2006/relationships/image" Target="media/image9.svg"/><Relationship Id="rId34" Type="http://schemas.openxmlformats.org/officeDocument/2006/relationships/image" Target="media/image18.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doi.org/10.1136/bmjopen-2018-025293" TargetMode="External"/><Relationship Id="rId33" Type="http://schemas.openxmlformats.org/officeDocument/2006/relationships/hyperlink" Target="https://pmc.ncbi.nlm.nih.gov/articles/PMC9540312/"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nk.springer.com/article/10.1186/s13012-017-0645-1" TargetMode="External"/><Relationship Id="rId20" Type="http://schemas.openxmlformats.org/officeDocument/2006/relationships/image" Target="media/image8.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med.ncbi.nlm.nih.gov/30412909/" TargetMode="External"/><Relationship Id="rId24" Type="http://schemas.openxmlformats.org/officeDocument/2006/relationships/image" Target="media/image11.svg"/><Relationship Id="rId32" Type="http://schemas.openxmlformats.org/officeDocument/2006/relationships/image" Target="media/image17.svg"/><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svg"/><Relationship Id="rId23" Type="http://schemas.openxmlformats.org/officeDocument/2006/relationships/image" Target="media/image10.png"/><Relationship Id="rId28" Type="http://schemas.openxmlformats.org/officeDocument/2006/relationships/image" Target="media/image13.svg"/><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connectsci.au/py/article/23/6/497/106497/Collective-and-negotiated-design-for-a-clinical" TargetMode="External"/><Relationship Id="rId31" Type="http://schemas.openxmlformats.org/officeDocument/2006/relationships/image" Target="media/image1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pubmed.ncbi.nlm.nih.gov/30412909/" TargetMode="External"/><Relationship Id="rId27" Type="http://schemas.openxmlformats.org/officeDocument/2006/relationships/image" Target="media/image12.png"/><Relationship Id="rId30" Type="http://schemas.openxmlformats.org/officeDocument/2006/relationships/image" Target="media/image15.svg"/><Relationship Id="rId35" Type="http://schemas.openxmlformats.org/officeDocument/2006/relationships/image" Target="media/image19.svg"/><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22.png"/><Relationship Id="rId2" Type="http://schemas.openxmlformats.org/officeDocument/2006/relationships/image" Target="media/image21.png"/><Relationship Id="rId1"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andurek\OneDrive%20-%20GACD%20Action\Documents\Custom%20Office%20Templates\GACD%20template%20-%20Word.dotx" TargetMode="External"/></Relationships>
</file>

<file path=word/theme/theme1.xml><?xml version="1.0" encoding="utf-8"?>
<a:theme xmlns:a="http://schemas.openxmlformats.org/drawingml/2006/main" name="Office Theme">
  <a:themeElements>
    <a:clrScheme name="GACD*">
      <a:dk1>
        <a:sysClr val="windowText" lastClr="000000"/>
      </a:dk1>
      <a:lt1>
        <a:sysClr val="window" lastClr="FFFFFF"/>
      </a:lt1>
      <a:dk2>
        <a:srgbClr val="44546A"/>
      </a:dk2>
      <a:lt2>
        <a:srgbClr val="E7E6E6"/>
      </a:lt2>
      <a:accent1>
        <a:srgbClr val="FF874F"/>
      </a:accent1>
      <a:accent2>
        <a:srgbClr val="36A18B"/>
      </a:accent2>
      <a:accent3>
        <a:srgbClr val="FCBF56"/>
      </a:accent3>
      <a:accent4>
        <a:srgbClr val="436EA7"/>
      </a:accent4>
      <a:accent5>
        <a:srgbClr val="F05890"/>
      </a:accent5>
      <a:accent6>
        <a:srgbClr val="73908F"/>
      </a:accent6>
      <a:hlink>
        <a:srgbClr val="5B9BD5"/>
      </a:hlink>
      <a:folHlink>
        <a:srgbClr val="8496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BDB5C2F2FB347BDB4C8DD8DD286A4" ma:contentTypeVersion="14" ma:contentTypeDescription="Create a new document." ma:contentTypeScope="" ma:versionID="3c6c7b3fada8cdd44608e6a760b178b8">
  <xsd:schema xmlns:xsd="http://www.w3.org/2001/XMLSchema" xmlns:xs="http://www.w3.org/2001/XMLSchema" xmlns:p="http://schemas.microsoft.com/office/2006/metadata/properties" xmlns:ns3="7d9e5d5a-edbd-4666-a4fe-8649a22e4736" xmlns:ns4="21a7241f-69b3-479e-aa5b-852d898a3cd8" targetNamespace="http://schemas.microsoft.com/office/2006/metadata/properties" ma:root="true" ma:fieldsID="c146e6f8f289c3731a608cc62e868427" ns3:_="" ns4:_="">
    <xsd:import namespace="7d9e5d5a-edbd-4666-a4fe-8649a22e4736"/>
    <xsd:import namespace="21a7241f-69b3-479e-aa5b-852d898a3c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e5d5a-edbd-4666-a4fe-8649a22e4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a7241f-69b3-479e-aa5b-852d898a3c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0D644-07C9-44E5-902F-34974DCA9E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D2D1C3-AEA2-439D-8F51-DF4B7E097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e5d5a-edbd-4666-a4fe-8649a22e4736"/>
    <ds:schemaRef ds:uri="21a7241f-69b3-479e-aa5b-852d898a3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8EDE5-96F6-488B-B537-651DD4A384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GACD template - Word</Template>
  <TotalTime>1</TotalTime>
  <Pages>5</Pages>
  <Words>1482</Words>
  <Characters>8449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Bandurek</dc:creator>
  <cp:keywords/>
  <dc:description/>
  <cp:lastModifiedBy>Kevin Mao</cp:lastModifiedBy>
  <cp:revision>2</cp:revision>
  <dcterms:created xsi:type="dcterms:W3CDTF">2025-12-09T20:17:00Z</dcterms:created>
  <dcterms:modified xsi:type="dcterms:W3CDTF">2025-12-09T20:17:00Z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0x0101008E3BDB5C2F2FB347BDB4C8DD8DD286A4</vt:lpwstr>
  </property>
</Properties>
</file>