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0B3A72" w14:textId="77777777" w:rsidR="003C6952" w:rsidRPr="00C45933" w:rsidRDefault="003C6952" w:rsidP="003C6952">
      <w:pPr>
        <w:jc w:val="center"/>
        <w:rPr>
          <w:color w:val="73908F" w:themeColor="accent6"/>
          <w:sz w:val="36"/>
          <w:szCs w:val="36"/>
        </w:rPr>
      </w:pPr>
      <w:r w:rsidRPr="00C45933">
        <w:rPr>
          <w:color w:val="73908F" w:themeColor="accent6"/>
          <w:sz w:val="36"/>
          <w:szCs w:val="36"/>
        </w:rPr>
        <w:t>A GACD Implementation Science e-Hub Case Study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3908F" w:themeFill="accent6"/>
        <w:tblLook w:val="04A0" w:firstRow="1" w:lastRow="0" w:firstColumn="1" w:lastColumn="0" w:noHBand="0" w:noVBand="1"/>
      </w:tblPr>
      <w:tblGrid>
        <w:gridCol w:w="9628"/>
      </w:tblGrid>
      <w:tr w:rsidR="003C6952" w:rsidRPr="00F42EC1" w14:paraId="2C063C62" w14:textId="77777777" w:rsidTr="00794DF4">
        <w:tc>
          <w:tcPr>
            <w:tcW w:w="9628" w:type="dxa"/>
            <w:shd w:val="clear" w:color="auto" w:fill="73908F" w:themeFill="accent6"/>
          </w:tcPr>
          <w:p w14:paraId="27CE2FA3" w14:textId="2AD60D98" w:rsidR="003C6952" w:rsidRPr="00F42EC1" w:rsidRDefault="00562062" w:rsidP="000313BF">
            <w:pPr>
              <w:spacing w:after="0"/>
              <w:jc w:val="center"/>
              <w:rPr>
                <w:b/>
                <w:bCs/>
                <w:color w:val="FFFFFF" w:themeColor="background1"/>
                <w:sz w:val="56"/>
                <w:szCs w:val="56"/>
              </w:rPr>
            </w:pPr>
            <w:r>
              <w:rPr>
                <w:b/>
                <w:bCs/>
                <w:color w:val="FFFFFF" w:themeColor="background1"/>
                <w:sz w:val="56"/>
                <w:szCs w:val="56"/>
              </w:rPr>
              <w:t>S</w:t>
            </w:r>
            <w:r w:rsidRPr="00562062">
              <w:rPr>
                <w:b/>
                <w:bCs/>
                <w:color w:val="FFFFFF" w:themeColor="background1"/>
                <w:sz w:val="56"/>
                <w:szCs w:val="56"/>
              </w:rPr>
              <w:t>trengthening Referral Networks for Management of Hypertension in Western Kenya</w:t>
            </w:r>
          </w:p>
        </w:tc>
      </w:tr>
    </w:tbl>
    <w:p w14:paraId="06474FFA" w14:textId="77777777" w:rsidR="003C6952" w:rsidRDefault="003C6952" w:rsidP="003C6952">
      <w:pPr>
        <w:jc w:val="center"/>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3C6952" w:rsidRPr="00F42EC1" w14:paraId="7025DD93" w14:textId="77777777" w:rsidTr="00794DF4">
        <w:tc>
          <w:tcPr>
            <w:tcW w:w="9628" w:type="dxa"/>
            <w:shd w:val="clear" w:color="auto" w:fill="73908F" w:themeFill="accent6"/>
          </w:tcPr>
          <w:p w14:paraId="78D3CB29" w14:textId="77777777" w:rsidR="003C6952" w:rsidRPr="00F42EC1" w:rsidRDefault="003C6952" w:rsidP="00794DF4">
            <w:pPr>
              <w:spacing w:after="0"/>
              <w:jc w:val="center"/>
              <w:rPr>
                <w:color w:val="FFFFFF" w:themeColor="background1"/>
                <w:sz w:val="20"/>
                <w:szCs w:val="20"/>
              </w:rPr>
            </w:pPr>
            <w:r w:rsidRPr="00F42EC1">
              <w:rPr>
                <w:color w:val="FFFFFF" w:themeColor="background1"/>
                <w:sz w:val="20"/>
                <w:szCs w:val="20"/>
              </w:rPr>
              <w:t>This case study was developed based on the work of</w:t>
            </w:r>
          </w:p>
        </w:tc>
      </w:tr>
      <w:tr w:rsidR="003C6952" w14:paraId="0EB41D18" w14:textId="77777777" w:rsidTr="00794DF4">
        <w:tc>
          <w:tcPr>
            <w:tcW w:w="9628" w:type="dxa"/>
            <w:shd w:val="clear" w:color="auto" w:fill="E2E8E8" w:themeFill="accent6" w:themeFillTint="33"/>
          </w:tcPr>
          <w:p w14:paraId="77B25001" w14:textId="3FDEE248" w:rsidR="003C6952" w:rsidRPr="000313BF" w:rsidRDefault="00562062" w:rsidP="00794DF4">
            <w:pPr>
              <w:spacing w:after="0"/>
              <w:jc w:val="center"/>
              <w:rPr>
                <w:i/>
                <w:iCs/>
                <w:sz w:val="20"/>
                <w:szCs w:val="20"/>
              </w:rPr>
            </w:pPr>
            <w:r w:rsidRPr="00562062">
              <w:rPr>
                <w:i/>
                <w:iCs/>
                <w:sz w:val="20"/>
                <w:szCs w:val="20"/>
              </w:rPr>
              <w:t>Strengthening Referral Networks for Management of Hypertension Across the Health System (STRENGTHS) study</w:t>
            </w:r>
          </w:p>
        </w:tc>
      </w:tr>
    </w:tbl>
    <w:p w14:paraId="2ECCD665" w14:textId="77777777" w:rsidR="003C6952" w:rsidRDefault="003C6952" w:rsidP="003C6952">
      <w:pPr>
        <w:jc w:val="center"/>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3C6952" w:rsidRPr="00F42EC1" w14:paraId="3CC27962" w14:textId="77777777" w:rsidTr="00794DF4">
        <w:tc>
          <w:tcPr>
            <w:tcW w:w="9628" w:type="dxa"/>
            <w:shd w:val="clear" w:color="auto" w:fill="73908F" w:themeFill="accent6"/>
          </w:tcPr>
          <w:p w14:paraId="0349AEC5" w14:textId="77777777" w:rsidR="003C6952" w:rsidRPr="00F42EC1" w:rsidRDefault="003C6952" w:rsidP="00794DF4">
            <w:pPr>
              <w:spacing w:after="0"/>
              <w:jc w:val="center"/>
              <w:rPr>
                <w:color w:val="FFFFFF" w:themeColor="background1"/>
                <w:sz w:val="20"/>
                <w:szCs w:val="20"/>
              </w:rPr>
            </w:pPr>
            <w:r w:rsidRPr="00F42EC1">
              <w:rPr>
                <w:color w:val="FFFFFF" w:themeColor="background1"/>
                <w:sz w:val="20"/>
                <w:szCs w:val="20"/>
              </w:rPr>
              <w:t>Project team members</w:t>
            </w:r>
          </w:p>
        </w:tc>
      </w:tr>
      <w:tr w:rsidR="003C6952" w14:paraId="18A3076E" w14:textId="77777777" w:rsidTr="00794DF4">
        <w:tc>
          <w:tcPr>
            <w:tcW w:w="9628" w:type="dxa"/>
            <w:shd w:val="clear" w:color="auto" w:fill="E2E8E8" w:themeFill="accent6" w:themeFillTint="33"/>
          </w:tcPr>
          <w:p w14:paraId="0BB778D4" w14:textId="0AC9392E" w:rsidR="003C6952" w:rsidRPr="000313BF" w:rsidRDefault="00562062" w:rsidP="000313BF">
            <w:pPr>
              <w:shd w:val="clear" w:color="auto" w:fill="E2E8E8" w:themeFill="accent6" w:themeFillTint="33"/>
              <w:spacing w:after="0"/>
              <w:jc w:val="center"/>
              <w:rPr>
                <w:i/>
                <w:iCs/>
                <w:sz w:val="20"/>
                <w:szCs w:val="20"/>
              </w:rPr>
            </w:pPr>
            <w:r w:rsidRPr="00562062">
              <w:rPr>
                <w:i/>
                <w:iCs/>
                <w:sz w:val="20"/>
                <w:szCs w:val="20"/>
              </w:rPr>
              <w:t xml:space="preserve">Aarti Thakkar, Thomas Valente, Josephine </w:t>
            </w:r>
            <w:proofErr w:type="spellStart"/>
            <w:r w:rsidRPr="00562062">
              <w:rPr>
                <w:i/>
                <w:iCs/>
                <w:sz w:val="20"/>
                <w:szCs w:val="20"/>
              </w:rPr>
              <w:t>Andesia</w:t>
            </w:r>
            <w:proofErr w:type="spellEnd"/>
            <w:r w:rsidRPr="00562062">
              <w:rPr>
                <w:i/>
                <w:iCs/>
                <w:sz w:val="20"/>
                <w:szCs w:val="20"/>
              </w:rPr>
              <w:t xml:space="preserve">, Benson Njuguna, Juliet </w:t>
            </w:r>
            <w:proofErr w:type="spellStart"/>
            <w:r w:rsidRPr="00562062">
              <w:rPr>
                <w:i/>
                <w:iCs/>
                <w:sz w:val="20"/>
                <w:szCs w:val="20"/>
              </w:rPr>
              <w:t>Miheso</w:t>
            </w:r>
            <w:proofErr w:type="spellEnd"/>
            <w:r w:rsidRPr="00562062">
              <w:rPr>
                <w:i/>
                <w:iCs/>
                <w:sz w:val="20"/>
                <w:szCs w:val="20"/>
              </w:rPr>
              <w:t xml:space="preserve">, Tim Mercer, Richard Mugo, Ann Mwangi, Eunice Mwangi, </w:t>
            </w:r>
            <w:proofErr w:type="spellStart"/>
            <w:r w:rsidRPr="00562062">
              <w:rPr>
                <w:i/>
                <w:iCs/>
                <w:sz w:val="20"/>
                <w:szCs w:val="20"/>
              </w:rPr>
              <w:t>Sonak</w:t>
            </w:r>
            <w:proofErr w:type="spellEnd"/>
            <w:r w:rsidRPr="00562062">
              <w:rPr>
                <w:i/>
                <w:iCs/>
                <w:sz w:val="20"/>
                <w:szCs w:val="20"/>
              </w:rPr>
              <w:t xml:space="preserve"> D. </w:t>
            </w:r>
            <w:proofErr w:type="spellStart"/>
            <w:r w:rsidRPr="00562062">
              <w:rPr>
                <w:i/>
                <w:iCs/>
                <w:sz w:val="20"/>
                <w:szCs w:val="20"/>
              </w:rPr>
              <w:t>Pastakia</w:t>
            </w:r>
            <w:proofErr w:type="spellEnd"/>
            <w:r w:rsidRPr="00562062">
              <w:rPr>
                <w:i/>
                <w:iCs/>
                <w:sz w:val="20"/>
                <w:szCs w:val="20"/>
              </w:rPr>
              <w:t xml:space="preserve">, Shravani Pathak, Jemima Kamano, Violet </w:t>
            </w:r>
            <w:proofErr w:type="spellStart"/>
            <w:r w:rsidRPr="00562062">
              <w:rPr>
                <w:i/>
                <w:iCs/>
                <w:sz w:val="20"/>
                <w:szCs w:val="20"/>
              </w:rPr>
              <w:t>Naanyu</w:t>
            </w:r>
            <w:proofErr w:type="spellEnd"/>
            <w:r w:rsidRPr="00562062">
              <w:rPr>
                <w:i/>
                <w:iCs/>
                <w:sz w:val="20"/>
                <w:szCs w:val="20"/>
              </w:rPr>
              <w:t xml:space="preserve">, Makeda Williams, Rajesh </w:t>
            </w:r>
            <w:proofErr w:type="spellStart"/>
            <w:r w:rsidRPr="00562062">
              <w:rPr>
                <w:i/>
                <w:iCs/>
                <w:sz w:val="20"/>
                <w:szCs w:val="20"/>
              </w:rPr>
              <w:t>Vedanthan</w:t>
            </w:r>
            <w:proofErr w:type="spellEnd"/>
            <w:r w:rsidRPr="00562062">
              <w:rPr>
                <w:i/>
                <w:iCs/>
                <w:sz w:val="20"/>
                <w:szCs w:val="20"/>
              </w:rPr>
              <w:t xml:space="preserve">, Constantine </w:t>
            </w:r>
            <w:proofErr w:type="spellStart"/>
            <w:r w:rsidRPr="00562062">
              <w:rPr>
                <w:i/>
                <w:iCs/>
                <w:sz w:val="20"/>
                <w:szCs w:val="20"/>
              </w:rPr>
              <w:t>Akwanalo</w:t>
            </w:r>
            <w:proofErr w:type="spellEnd"/>
            <w:r w:rsidRPr="00562062">
              <w:rPr>
                <w:i/>
                <w:iCs/>
                <w:sz w:val="20"/>
                <w:szCs w:val="20"/>
              </w:rPr>
              <w:t>, and Gerald S. Bloomfield.</w:t>
            </w:r>
          </w:p>
        </w:tc>
      </w:tr>
    </w:tbl>
    <w:p w14:paraId="4160B318" w14:textId="77777777" w:rsidR="003C6952" w:rsidRPr="00650EAE" w:rsidRDefault="003C6952" w:rsidP="003C6952">
      <w:pPr>
        <w:jc w:val="center"/>
        <w:rPr>
          <w:sz w:val="20"/>
          <w:szCs w:val="20"/>
        </w:rPr>
      </w:pPr>
    </w:p>
    <w:tbl>
      <w:tblPr>
        <w:tblStyle w:val="TableGrid"/>
        <w:tblW w:w="9715" w:type="dxa"/>
        <w:tblBorders>
          <w:top w:val="single" w:sz="2" w:space="0" w:color="E7E6E6" w:themeColor="background2"/>
          <w:left w:val="single" w:sz="2" w:space="0" w:color="E7E6E6" w:themeColor="background2"/>
          <w:bottom w:val="single" w:sz="2" w:space="0" w:color="E7E6E6" w:themeColor="background2"/>
          <w:right w:val="single" w:sz="2" w:space="0" w:color="E7E6E6" w:themeColor="background2"/>
          <w:insideH w:val="single" w:sz="2" w:space="0" w:color="E7E6E6" w:themeColor="background2"/>
          <w:insideV w:val="single" w:sz="2" w:space="0" w:color="E7E6E6" w:themeColor="background2"/>
        </w:tblBorders>
        <w:shd w:val="clear" w:color="auto" w:fill="E2E8E8" w:themeFill="accent6" w:themeFillTint="33"/>
        <w:tblLook w:val="04A0" w:firstRow="1" w:lastRow="0" w:firstColumn="1" w:lastColumn="0" w:noHBand="0" w:noVBand="1"/>
      </w:tblPr>
      <w:tblGrid>
        <w:gridCol w:w="9715"/>
      </w:tblGrid>
      <w:tr w:rsidR="003C6952" w14:paraId="27071587" w14:textId="77777777" w:rsidTr="00794DF4">
        <w:trPr>
          <w:trHeight w:val="311"/>
        </w:trPr>
        <w:tc>
          <w:tcPr>
            <w:tcW w:w="9715" w:type="dxa"/>
            <w:shd w:val="clear" w:color="auto" w:fill="73908F" w:themeFill="accent6"/>
            <w:vAlign w:val="center"/>
          </w:tcPr>
          <w:p w14:paraId="35C37909" w14:textId="77777777" w:rsidR="003C6952" w:rsidRDefault="003C6952" w:rsidP="00794DF4">
            <w:pPr>
              <w:spacing w:after="0"/>
              <w:jc w:val="center"/>
              <w:rPr>
                <w:noProof/>
                <w:lang w:eastAsia="en-AU"/>
              </w:rPr>
            </w:pPr>
          </w:p>
        </w:tc>
      </w:tr>
      <w:tr w:rsidR="003C6952" w14:paraId="67BD21F9" w14:textId="77777777" w:rsidTr="000313BF">
        <w:trPr>
          <w:trHeight w:val="5637"/>
        </w:trPr>
        <w:tc>
          <w:tcPr>
            <w:tcW w:w="9715" w:type="dxa"/>
            <w:shd w:val="clear" w:color="auto" w:fill="E2E8E8" w:themeFill="accent6" w:themeFillTint="33"/>
            <w:vAlign w:val="center"/>
          </w:tcPr>
          <w:p w14:paraId="55D1ABEA" w14:textId="27898722" w:rsidR="003C6952" w:rsidRPr="00F8610A" w:rsidRDefault="00A704A2" w:rsidP="003C6952">
            <w:pPr>
              <w:spacing w:after="0"/>
              <w:jc w:val="center"/>
              <w:rPr>
                <w:i/>
                <w:iCs/>
              </w:rPr>
            </w:pPr>
            <w:r>
              <w:rPr>
                <w:i/>
                <w:iCs/>
                <w:noProof/>
                <w:color w:val="AEAAAA" w:themeColor="background2" w:themeShade="BF"/>
              </w:rPr>
              <w:drawing>
                <wp:inline distT="0" distB="0" distL="0" distR="0" wp14:anchorId="49683840" wp14:editId="6928A727">
                  <wp:extent cx="4294909" cy="3331919"/>
                  <wp:effectExtent l="0" t="0" r="0" b="1905"/>
                  <wp:docPr id="17807066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706699" name="Picture 178070669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01923" cy="3337360"/>
                          </a:xfrm>
                          <a:prstGeom prst="rect">
                            <a:avLst/>
                          </a:prstGeom>
                        </pic:spPr>
                      </pic:pic>
                    </a:graphicData>
                  </a:graphic>
                </wp:inline>
              </w:drawing>
            </w:r>
          </w:p>
        </w:tc>
      </w:tr>
      <w:tr w:rsidR="003C6952" w14:paraId="23FEAE0C" w14:textId="77777777" w:rsidTr="00794DF4">
        <w:trPr>
          <w:trHeight w:val="287"/>
        </w:trPr>
        <w:tc>
          <w:tcPr>
            <w:tcW w:w="9715" w:type="dxa"/>
            <w:shd w:val="clear" w:color="auto" w:fill="E2E8E8" w:themeFill="accent6" w:themeFillTint="33"/>
            <w:vAlign w:val="center"/>
          </w:tcPr>
          <w:p w14:paraId="5DCD31DC" w14:textId="2AB240B1" w:rsidR="003C6952" w:rsidRPr="002B076F" w:rsidRDefault="00A704A2" w:rsidP="00794DF4">
            <w:pPr>
              <w:spacing w:after="0"/>
              <w:jc w:val="center"/>
              <w:rPr>
                <w:i/>
                <w:iCs/>
              </w:rPr>
            </w:pPr>
            <w:r w:rsidRPr="00A704A2">
              <w:rPr>
                <w:i/>
                <w:iCs/>
                <w:sz w:val="18"/>
                <w:szCs w:val="18"/>
              </w:rPr>
              <w:t>STRENGTHS intervention</w:t>
            </w:r>
          </w:p>
        </w:tc>
      </w:tr>
    </w:tbl>
    <w:p w14:paraId="7D53462C" w14:textId="77777777" w:rsidR="006711C1" w:rsidRDefault="006711C1" w:rsidP="006711C1"/>
    <w:p w14:paraId="7EB80595" w14:textId="77777777" w:rsidR="006711C1" w:rsidRDefault="006711C1" w:rsidP="006711C1">
      <w:r>
        <w:br w:type="page"/>
      </w:r>
    </w:p>
    <w:p w14:paraId="74BB3237" w14:textId="77777777" w:rsidR="006711C1" w:rsidRDefault="006711C1" w:rsidP="006711C1">
      <w:pPr>
        <w:pStyle w:val="Heading2"/>
      </w:pPr>
      <w:r>
        <w:lastRenderedPageBreak/>
        <w:t>Case study summary</w:t>
      </w:r>
    </w:p>
    <w:p w14:paraId="6BE669A7" w14:textId="44FFBF6C" w:rsidR="006711C1" w:rsidRDefault="00AB5B73" w:rsidP="006711C1">
      <w:r w:rsidRPr="00AB5B73">
        <w:t>The STRENGTHS (Strengthening Referral Networks for Management of Hypertension Across the Health System) study, based in Western Kenya, aims to revolutionize hypertension management and cardiovascular disease risk reduction. This pioneering project integrates health information technology (HIT) and peer support within a comprehensive referral network spanning primary to tertiary healthcare levels. Its primary objectives are to enhance referral efficacy, optimize blood pressure control, and improve cardiovascular health outcomes in resource-limited settings.</w:t>
      </w:r>
    </w:p>
    <w:p w14:paraId="01700C2E" w14:textId="225F64F5" w:rsidR="006711C1" w:rsidRDefault="00AB5B73" w:rsidP="00A704A2">
      <w:pPr>
        <w:pStyle w:val="Heading2"/>
      </w:pPr>
      <w:r>
        <w:rPr>
          <w:noProof/>
        </w:rPr>
        <w:drawing>
          <wp:anchor distT="0" distB="0" distL="114300" distR="114300" simplePos="0" relativeHeight="251658240" behindDoc="0" locked="0" layoutInCell="1" allowOverlap="1" wp14:anchorId="56626A94" wp14:editId="18933D4A">
            <wp:simplePos x="0" y="0"/>
            <wp:positionH relativeFrom="column">
              <wp:posOffset>-53398</wp:posOffset>
            </wp:positionH>
            <wp:positionV relativeFrom="paragraph">
              <wp:posOffset>4965</wp:posOffset>
            </wp:positionV>
            <wp:extent cx="287655" cy="287655"/>
            <wp:effectExtent l="0" t="0" r="0" b="0"/>
            <wp:wrapSquare wrapText="bothSides"/>
            <wp:docPr id="12" name="Graphic 12" descr="Magnifying gla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Magnifying glass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00550D15">
        <w:t>Identification and characterisation of implementation issues</w:t>
      </w:r>
    </w:p>
    <w:p w14:paraId="0052E5F1" w14:textId="7DE5FB22" w:rsidR="00AB5B73" w:rsidRPr="00AB5B73" w:rsidRDefault="00AB5B73" w:rsidP="00A704A2">
      <w:pPr>
        <w:pStyle w:val="Heading2"/>
        <w:rPr>
          <w:rFonts w:eastAsia="SimSun" w:cstheme="minorBidi"/>
          <w:b w:val="0"/>
          <w:color w:val="auto"/>
          <w:sz w:val="22"/>
          <w:szCs w:val="22"/>
        </w:rPr>
      </w:pPr>
      <w:r w:rsidRPr="002A30D9">
        <w:rPr>
          <w:rFonts w:eastAsia="SimSun" w:cstheme="minorBidi"/>
          <w:bCs/>
          <w:color w:val="auto"/>
          <w:sz w:val="22"/>
          <w:szCs w:val="22"/>
        </w:rPr>
        <w:t>Healthcare Challenge:</w:t>
      </w:r>
      <w:r w:rsidRPr="00AB5B73">
        <w:rPr>
          <w:rFonts w:eastAsia="SimSun" w:cstheme="minorBidi"/>
          <w:b w:val="0"/>
          <w:color w:val="auto"/>
          <w:sz w:val="22"/>
          <w:szCs w:val="22"/>
        </w:rPr>
        <w:t xml:space="preserve"> High prevalence of hypertension in Kenya, underlined by significant treatment and control gaps in low-resource settings.</w:t>
      </w:r>
    </w:p>
    <w:p w14:paraId="2B6794AF" w14:textId="28841DA0" w:rsidR="006711C1" w:rsidRPr="00AB5B73" w:rsidRDefault="00AB5B73" w:rsidP="00A704A2">
      <w:pPr>
        <w:pStyle w:val="Heading2"/>
        <w:rPr>
          <w:rFonts w:eastAsia="SimSun" w:cstheme="minorBidi"/>
          <w:b w:val="0"/>
          <w:color w:val="auto"/>
          <w:sz w:val="22"/>
          <w:szCs w:val="22"/>
        </w:rPr>
      </w:pPr>
      <w:r w:rsidRPr="002A30D9">
        <w:rPr>
          <w:rFonts w:eastAsia="SimSun" w:cstheme="minorBidi"/>
          <w:bCs/>
          <w:color w:val="auto"/>
          <w:sz w:val="22"/>
          <w:szCs w:val="22"/>
        </w:rPr>
        <w:t xml:space="preserve">Systemic Issues: </w:t>
      </w:r>
      <w:r w:rsidRPr="00AB5B73">
        <w:rPr>
          <w:rFonts w:eastAsia="SimSun" w:cstheme="minorBidi"/>
          <w:b w:val="0"/>
          <w:color w:val="auto"/>
          <w:sz w:val="22"/>
          <w:szCs w:val="22"/>
        </w:rPr>
        <w:t>The challenges of a tiered healthcare system with inadequate referral networks impeding effective hypertension management.</w:t>
      </w:r>
    </w:p>
    <w:p w14:paraId="3FBFCBE0" w14:textId="1FF03781" w:rsidR="006711C1" w:rsidRDefault="00A704A2" w:rsidP="00A704A2">
      <w:pPr>
        <w:pStyle w:val="Heading2"/>
      </w:pPr>
      <w:r>
        <w:rPr>
          <w:noProof/>
        </w:rPr>
        <w:drawing>
          <wp:anchor distT="0" distB="0" distL="114300" distR="114300" simplePos="0" relativeHeight="251662336" behindDoc="0" locked="0" layoutInCell="1" allowOverlap="1" wp14:anchorId="5A439008" wp14:editId="2E48E79D">
            <wp:simplePos x="0" y="0"/>
            <wp:positionH relativeFrom="column">
              <wp:posOffset>-59574</wp:posOffset>
            </wp:positionH>
            <wp:positionV relativeFrom="paragraph">
              <wp:posOffset>3118</wp:posOffset>
            </wp:positionV>
            <wp:extent cx="287655" cy="287655"/>
            <wp:effectExtent l="0" t="0" r="0" b="0"/>
            <wp:wrapSquare wrapText="bothSides"/>
            <wp:docPr id="14" name="Graphic 14" descr="Bluepri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descr="Blueprin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Pr="00A704A2">
        <w:t>Selection, adaptation, and application of implementation strategies</w:t>
      </w:r>
    </w:p>
    <w:p w14:paraId="07058C1C" w14:textId="3B0702B1" w:rsidR="00AB5B73" w:rsidRPr="00AB5B73" w:rsidRDefault="00AB5B73" w:rsidP="00A704A2">
      <w:pPr>
        <w:rPr>
          <w:rFonts w:eastAsia="Calibri"/>
          <w:lang w:eastAsia="zh-CN"/>
        </w:rPr>
      </w:pPr>
      <w:r w:rsidRPr="002A30D9">
        <w:rPr>
          <w:rFonts w:eastAsia="Calibri"/>
          <w:b/>
          <w:bCs/>
          <w:lang w:eastAsia="zh-CN"/>
        </w:rPr>
        <w:t>HIT Integration:</w:t>
      </w:r>
      <w:r w:rsidRPr="00AB5B73">
        <w:rPr>
          <w:rFonts w:eastAsia="Calibri"/>
          <w:lang w:eastAsia="zh-CN"/>
        </w:rPr>
        <w:t xml:space="preserve"> Enhancing the AMPATH Medical Record System (AMRS) for data sharing, clinical decision support, patient tracking, and key referral process metrics.</w:t>
      </w:r>
    </w:p>
    <w:p w14:paraId="2A45DF59" w14:textId="38D2705B" w:rsidR="006711C1" w:rsidRDefault="00A704A2" w:rsidP="006711C1">
      <w:pPr>
        <w:rPr>
          <w:rFonts w:eastAsia="Calibri"/>
          <w:lang w:eastAsia="zh-CN"/>
        </w:rPr>
      </w:pPr>
      <w:r w:rsidRPr="002A30D9">
        <w:rPr>
          <w:b/>
          <w:bCs/>
          <w:noProof/>
        </w:rPr>
        <w:drawing>
          <wp:anchor distT="0" distB="0" distL="114300" distR="114300" simplePos="0" relativeHeight="251664384" behindDoc="0" locked="0" layoutInCell="1" allowOverlap="1" wp14:anchorId="79ABE303" wp14:editId="7C2D3716">
            <wp:simplePos x="0" y="0"/>
            <wp:positionH relativeFrom="margin">
              <wp:align>left</wp:align>
            </wp:positionH>
            <wp:positionV relativeFrom="paragraph">
              <wp:posOffset>438150</wp:posOffset>
            </wp:positionV>
            <wp:extent cx="287655" cy="287655"/>
            <wp:effectExtent l="0" t="0" r="0" b="0"/>
            <wp:wrapSquare wrapText="bothSides"/>
            <wp:docPr id="15" name="Graphic 15" descr="Cycle with peop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descr="Cycle with people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00AB5B73" w:rsidRPr="002A30D9">
        <w:rPr>
          <w:rFonts w:eastAsia="Calibri"/>
          <w:b/>
          <w:bCs/>
          <w:lang w:eastAsia="zh-CN"/>
        </w:rPr>
        <w:t>Peer Support Initiative:</w:t>
      </w:r>
      <w:r w:rsidR="00AB5B73" w:rsidRPr="00AB5B73">
        <w:rPr>
          <w:rFonts w:eastAsia="Calibri"/>
          <w:lang w:eastAsia="zh-CN"/>
        </w:rPr>
        <w:t xml:space="preserve"> Recruiting and training controlled hypertensive patients as peer navigators for referral adherence, health system navigation, and psychosocial support.</w:t>
      </w:r>
    </w:p>
    <w:p w14:paraId="559626E2" w14:textId="43B7EC8E" w:rsidR="006711C1" w:rsidRDefault="00550D15" w:rsidP="006711C1">
      <w:pPr>
        <w:pStyle w:val="Heading2"/>
      </w:pPr>
      <w:r>
        <w:t xml:space="preserve">Development and delivery of the </w:t>
      </w:r>
      <w:hyperlink r:id="rId17" w:history="1">
        <w:r w:rsidRPr="001A6574">
          <w:rPr>
            <w:rStyle w:val="Hyperlink"/>
          </w:rPr>
          <w:t>s</w:t>
        </w:r>
        <w:r w:rsidR="006711C1" w:rsidRPr="001A6574">
          <w:rPr>
            <w:rStyle w:val="Hyperlink"/>
          </w:rPr>
          <w:t>takeholder engagement strategy</w:t>
        </w:r>
      </w:hyperlink>
    </w:p>
    <w:p w14:paraId="08762D19" w14:textId="77777777" w:rsidR="00AB5B73" w:rsidRPr="00AB5B73" w:rsidRDefault="00AB5B73" w:rsidP="00AB5B73">
      <w:pPr>
        <w:rPr>
          <w:rFonts w:eastAsia="Calibri"/>
          <w:lang w:eastAsia="zh-CN"/>
        </w:rPr>
      </w:pPr>
      <w:r w:rsidRPr="002A30D9">
        <w:rPr>
          <w:rFonts w:eastAsia="Calibri"/>
          <w:b/>
          <w:bCs/>
          <w:lang w:eastAsia="zh-CN"/>
        </w:rPr>
        <w:t>Collaborative Framework:</w:t>
      </w:r>
      <w:r w:rsidRPr="00AB5B73">
        <w:rPr>
          <w:rFonts w:eastAsia="Calibri"/>
          <w:lang w:eastAsia="zh-CN"/>
        </w:rPr>
        <w:t xml:space="preserve"> Engaging a range of stakeholders, including healthcare providers, patients, community leaders, and international partners.</w:t>
      </w:r>
    </w:p>
    <w:p w14:paraId="4B03B0FA" w14:textId="15C99EBB" w:rsidR="006711C1" w:rsidRPr="00AB5B73" w:rsidRDefault="00AB5B73" w:rsidP="006711C1">
      <w:pPr>
        <w:rPr>
          <w:rFonts w:eastAsia="Calibri"/>
          <w:lang w:eastAsia="zh-CN"/>
        </w:rPr>
      </w:pPr>
      <w:r w:rsidRPr="002A30D9">
        <w:rPr>
          <w:rFonts w:eastAsia="Calibri"/>
          <w:b/>
          <w:bCs/>
          <w:lang w:eastAsia="zh-CN"/>
        </w:rPr>
        <w:t xml:space="preserve">Community Involvement: </w:t>
      </w:r>
      <w:r w:rsidRPr="00AB5B73">
        <w:rPr>
          <w:rFonts w:eastAsia="Calibri"/>
          <w:lang w:eastAsia="zh-CN"/>
        </w:rPr>
        <w:t>Utilizing community assemblies (</w:t>
      </w:r>
      <w:proofErr w:type="spellStart"/>
      <w:r w:rsidRPr="00AB5B73">
        <w:rPr>
          <w:rFonts w:eastAsia="Calibri"/>
          <w:lang w:eastAsia="zh-CN"/>
        </w:rPr>
        <w:t>mabaraza</w:t>
      </w:r>
      <w:proofErr w:type="spellEnd"/>
      <w:r w:rsidRPr="00AB5B73">
        <w:rPr>
          <w:rFonts w:eastAsia="Calibri"/>
          <w:lang w:eastAsia="zh-CN"/>
        </w:rPr>
        <w:t>) and focus groups to understand local perspectives and refine intervention strategies.</w:t>
      </w:r>
    </w:p>
    <w:p w14:paraId="4BA303FF" w14:textId="0EA1796F" w:rsidR="006711C1" w:rsidRPr="00AB5B73" w:rsidRDefault="00AB5B73" w:rsidP="00AB5B73">
      <w:pPr>
        <w:pStyle w:val="Heading2"/>
      </w:pPr>
      <w:r w:rsidRPr="00AB5B73">
        <w:rPr>
          <w:rFonts w:eastAsia="Calibri"/>
          <w:noProof/>
          <w:lang w:eastAsia="zh-CN"/>
        </w:rPr>
        <w:drawing>
          <wp:anchor distT="0" distB="0" distL="114300" distR="114300" simplePos="0" relativeHeight="251666432" behindDoc="0" locked="0" layoutInCell="1" allowOverlap="1" wp14:anchorId="51C327D1" wp14:editId="5F810094">
            <wp:simplePos x="0" y="0"/>
            <wp:positionH relativeFrom="margin">
              <wp:align>left</wp:align>
            </wp:positionH>
            <wp:positionV relativeFrom="paragraph">
              <wp:posOffset>-6350</wp:posOffset>
            </wp:positionV>
            <wp:extent cx="287655" cy="287655"/>
            <wp:effectExtent l="0" t="0" r="0" b="0"/>
            <wp:wrapSquare wrapText="bothSides"/>
            <wp:docPr id="16" name="Graphic 16" descr="Scales of justic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descr="Scales of justice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hyperlink r:id="rId20" w:history="1">
        <w:r w:rsidR="006711C1" w:rsidRPr="001A6574">
          <w:rPr>
            <w:rStyle w:val="Hyperlink"/>
          </w:rPr>
          <w:t>Evaluati</w:t>
        </w:r>
        <w:r w:rsidR="00550D15" w:rsidRPr="001A6574">
          <w:rPr>
            <w:rStyle w:val="Hyperlink"/>
          </w:rPr>
          <w:t>ng implementation</w:t>
        </w:r>
      </w:hyperlink>
    </w:p>
    <w:p w14:paraId="7EE919F3" w14:textId="09ACC497" w:rsidR="00AB5B73" w:rsidRPr="00AB5B73" w:rsidRDefault="00AB5B73" w:rsidP="00AB5B73">
      <w:pPr>
        <w:rPr>
          <w:rFonts w:eastAsia="Calibri"/>
          <w:lang w:eastAsia="zh-CN"/>
        </w:rPr>
      </w:pPr>
      <w:r w:rsidRPr="002A30D9">
        <w:rPr>
          <w:rFonts w:eastAsia="Calibri"/>
          <w:b/>
          <w:bCs/>
          <w:lang w:eastAsia="zh-CN"/>
        </w:rPr>
        <w:t>Methodological Framework:</w:t>
      </w:r>
      <w:r w:rsidRPr="00AB5B73">
        <w:rPr>
          <w:rFonts w:eastAsia="Calibri"/>
          <w:lang w:eastAsia="zh-CN"/>
        </w:rPr>
        <w:t xml:space="preserve"> Adoption of the PRECEDE-PROCEED model for multi-dimensional evaluation.</w:t>
      </w:r>
    </w:p>
    <w:p w14:paraId="0901335A" w14:textId="1B3439A4" w:rsidR="006711C1" w:rsidRDefault="00AB5B73" w:rsidP="006711C1">
      <w:pPr>
        <w:rPr>
          <w:rFonts w:eastAsia="Calibri"/>
          <w:lang w:eastAsia="zh-CN"/>
        </w:rPr>
      </w:pPr>
      <w:r w:rsidRPr="002A30D9">
        <w:rPr>
          <w:rFonts w:eastAsia="Calibri"/>
          <w:b/>
          <w:bCs/>
          <w:lang w:eastAsia="zh-CN"/>
        </w:rPr>
        <w:t>Baseline Assessment Methods:</w:t>
      </w:r>
      <w:r w:rsidRPr="00AB5B73">
        <w:rPr>
          <w:rFonts w:eastAsia="Calibri"/>
          <w:lang w:eastAsia="zh-CN"/>
        </w:rPr>
        <w:t xml:space="preserve"> Implementing observational process mapping, referral network analysis, and qualitative research for in-depth baseline assessment.</w:t>
      </w:r>
    </w:p>
    <w:p w14:paraId="0E1BB3CD" w14:textId="7E9C8961" w:rsidR="006711C1" w:rsidRDefault="00A704A2" w:rsidP="006711C1">
      <w:pPr>
        <w:pStyle w:val="Heading2"/>
      </w:pPr>
      <w:r>
        <w:rPr>
          <w:noProof/>
        </w:rPr>
        <w:drawing>
          <wp:anchor distT="0" distB="0" distL="114300" distR="114300" simplePos="0" relativeHeight="251668480" behindDoc="0" locked="0" layoutInCell="1" allowOverlap="1" wp14:anchorId="27E9EC86" wp14:editId="049D2229">
            <wp:simplePos x="0" y="0"/>
            <wp:positionH relativeFrom="column">
              <wp:posOffset>3175</wp:posOffset>
            </wp:positionH>
            <wp:positionV relativeFrom="paragraph">
              <wp:posOffset>29903</wp:posOffset>
            </wp:positionV>
            <wp:extent cx="287655" cy="287655"/>
            <wp:effectExtent l="0" t="0" r="0" b="0"/>
            <wp:wrapSquare wrapText="bothSides"/>
            <wp:docPr id="17" name="Graphic 17" descr="Bar ch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Bar chart with solid fill"/>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006711C1">
        <w:t>Results and key findings</w:t>
      </w:r>
    </w:p>
    <w:p w14:paraId="6F03C5ED" w14:textId="13689C8C" w:rsidR="00A704A2" w:rsidRPr="00A704A2" w:rsidRDefault="00A704A2" w:rsidP="00A704A2">
      <w:pPr>
        <w:rPr>
          <w:rFonts w:eastAsia="Calibri"/>
          <w:lang w:eastAsia="zh-CN"/>
        </w:rPr>
      </w:pPr>
      <w:r w:rsidRPr="002A30D9">
        <w:rPr>
          <w:rFonts w:eastAsia="Calibri"/>
          <w:b/>
          <w:bCs/>
          <w:lang w:eastAsia="zh-CN"/>
        </w:rPr>
        <w:t xml:space="preserve">Clinical Outcomes: </w:t>
      </w:r>
      <w:r w:rsidRPr="00A704A2">
        <w:rPr>
          <w:rFonts w:eastAsia="Calibri"/>
          <w:lang w:eastAsia="zh-CN"/>
        </w:rPr>
        <w:t>Marked improvement in systolic blood pressure control and reduction in overall cardiovascular risk.</w:t>
      </w:r>
    </w:p>
    <w:p w14:paraId="3CE1B205" w14:textId="7C64AE0B" w:rsidR="006711C1" w:rsidRPr="00A704A2" w:rsidRDefault="00A704A2" w:rsidP="006711C1">
      <w:pPr>
        <w:rPr>
          <w:rFonts w:eastAsia="Calibri"/>
          <w:lang w:eastAsia="zh-CN"/>
        </w:rPr>
      </w:pPr>
      <w:r w:rsidRPr="002A30D9">
        <w:rPr>
          <w:rFonts w:eastAsia="Calibri"/>
          <w:b/>
          <w:bCs/>
          <w:lang w:eastAsia="zh-CN"/>
        </w:rPr>
        <w:t>Referral Process Improvement:</w:t>
      </w:r>
      <w:r w:rsidRPr="00A704A2">
        <w:rPr>
          <w:rFonts w:eastAsia="Calibri"/>
          <w:lang w:eastAsia="zh-CN"/>
        </w:rPr>
        <w:t xml:space="preserve"> Enhanced efficiency and effectiveness in referral completion, facilitated by the integrated HIT system.</w:t>
      </w:r>
    </w:p>
    <w:p w14:paraId="39772CF4" w14:textId="3D75D78E" w:rsidR="006711C1" w:rsidRDefault="00A704A2" w:rsidP="006711C1">
      <w:pPr>
        <w:pStyle w:val="Heading2"/>
      </w:pPr>
      <w:r>
        <w:rPr>
          <w:noProof/>
        </w:rPr>
        <w:lastRenderedPageBreak/>
        <w:drawing>
          <wp:anchor distT="0" distB="0" distL="114300" distR="114300" simplePos="0" relativeHeight="251670528" behindDoc="0" locked="0" layoutInCell="1" allowOverlap="1" wp14:anchorId="6FA1A198" wp14:editId="5F819323">
            <wp:simplePos x="0" y="0"/>
            <wp:positionH relativeFrom="column">
              <wp:posOffset>-38389</wp:posOffset>
            </wp:positionH>
            <wp:positionV relativeFrom="paragraph">
              <wp:posOffset>577</wp:posOffset>
            </wp:positionV>
            <wp:extent cx="287655" cy="287655"/>
            <wp:effectExtent l="0" t="0" r="0" b="0"/>
            <wp:wrapSquare wrapText="bothSides"/>
            <wp:docPr id="18" name="Graphic 18" descr="Clipboard Mix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Clipboard Mixed with solid fill"/>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006711C1">
        <w:t>Strengths and limitations</w:t>
      </w:r>
    </w:p>
    <w:p w14:paraId="31E5AC62" w14:textId="0323F8F9" w:rsidR="00A704A2" w:rsidRPr="00A704A2" w:rsidRDefault="00A704A2" w:rsidP="00A704A2">
      <w:pPr>
        <w:rPr>
          <w:rFonts w:eastAsia="Calibri"/>
          <w:lang w:eastAsia="zh-CN"/>
        </w:rPr>
      </w:pPr>
      <w:r w:rsidRPr="002A30D9">
        <w:rPr>
          <w:rFonts w:eastAsia="Calibri"/>
          <w:b/>
          <w:bCs/>
          <w:lang w:eastAsia="zh-CN"/>
        </w:rPr>
        <w:t>Strengths:</w:t>
      </w:r>
      <w:r w:rsidRPr="00A704A2">
        <w:rPr>
          <w:rFonts w:eastAsia="Calibri"/>
          <w:lang w:eastAsia="zh-CN"/>
        </w:rPr>
        <w:t xml:space="preserve"> Groundbreaking integration of technology with community engagement, comprehensive stakeholder involvement, and flexible adaptation to local healthcare contexts.</w:t>
      </w:r>
    </w:p>
    <w:p w14:paraId="378C3A0D" w14:textId="012C8345" w:rsidR="006711C1" w:rsidRDefault="00A704A2" w:rsidP="006711C1">
      <w:pPr>
        <w:rPr>
          <w:rFonts w:eastAsia="Calibri"/>
          <w:lang w:eastAsia="zh-CN"/>
        </w:rPr>
      </w:pPr>
      <w:r w:rsidRPr="002A30D9">
        <w:rPr>
          <w:b/>
          <w:bCs/>
          <w:noProof/>
        </w:rPr>
        <w:drawing>
          <wp:anchor distT="0" distB="0" distL="114300" distR="114300" simplePos="0" relativeHeight="251672576" behindDoc="0" locked="0" layoutInCell="1" allowOverlap="1" wp14:anchorId="7D8568FC" wp14:editId="6501F385">
            <wp:simplePos x="0" y="0"/>
            <wp:positionH relativeFrom="column">
              <wp:posOffset>3175</wp:posOffset>
            </wp:positionH>
            <wp:positionV relativeFrom="paragraph">
              <wp:posOffset>462280</wp:posOffset>
            </wp:positionV>
            <wp:extent cx="287655" cy="287655"/>
            <wp:effectExtent l="0" t="0" r="0" b="0"/>
            <wp:wrapSquare wrapText="bothSides"/>
            <wp:docPr id="19" name="Graphic 19" descr="Mountain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9" descr="Mountains with solid fill"/>
                    <pic:cNvPicPr/>
                  </pic:nvPicPr>
                  <pic:blipFill>
                    <a:blip r:embed="rId25" cstate="print">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Pr="002A30D9">
        <w:rPr>
          <w:rFonts w:eastAsia="Calibri"/>
          <w:b/>
          <w:bCs/>
          <w:lang w:eastAsia="zh-CN"/>
        </w:rPr>
        <w:t>Limitations:</w:t>
      </w:r>
      <w:r w:rsidRPr="00A704A2">
        <w:rPr>
          <w:rFonts w:eastAsia="Calibri"/>
          <w:lang w:eastAsia="zh-CN"/>
        </w:rPr>
        <w:t xml:space="preserve"> Challenges in technology infrastructure across diverse regions, dependence on sustained community participation, and scalability of the model.</w:t>
      </w:r>
    </w:p>
    <w:p w14:paraId="199BC6E3" w14:textId="690BB506" w:rsidR="006711C1" w:rsidRDefault="006711C1" w:rsidP="006711C1">
      <w:pPr>
        <w:pStyle w:val="Heading2"/>
      </w:pPr>
      <w:r>
        <w:t>Success factors and challenges</w:t>
      </w:r>
    </w:p>
    <w:p w14:paraId="3D9EE6F9" w14:textId="68B55B8A" w:rsidR="00A704A2" w:rsidRPr="00A704A2" w:rsidRDefault="00A704A2" w:rsidP="00A704A2">
      <w:pPr>
        <w:rPr>
          <w:rFonts w:eastAsia="Calibri"/>
          <w:lang w:eastAsia="zh-CN"/>
        </w:rPr>
      </w:pPr>
      <w:r w:rsidRPr="002A30D9">
        <w:rPr>
          <w:rFonts w:eastAsia="Calibri"/>
          <w:b/>
          <w:bCs/>
          <w:lang w:eastAsia="zh-CN"/>
        </w:rPr>
        <w:t>Success Factors:</w:t>
      </w:r>
      <w:r w:rsidRPr="00A704A2">
        <w:rPr>
          <w:rFonts w:eastAsia="Calibri"/>
          <w:lang w:eastAsia="zh-CN"/>
        </w:rPr>
        <w:t xml:space="preserve"> Effective utilization of HIT, robust community engagement, and a transdisciplinary research approach.</w:t>
      </w:r>
    </w:p>
    <w:p w14:paraId="2A9719A9" w14:textId="75E123A1" w:rsidR="006711C1" w:rsidRPr="00A704A2" w:rsidRDefault="00A704A2" w:rsidP="006711C1">
      <w:pPr>
        <w:rPr>
          <w:rFonts w:eastAsia="Calibri"/>
          <w:lang w:eastAsia="zh-CN"/>
        </w:rPr>
      </w:pPr>
      <w:r w:rsidRPr="002A30D9">
        <w:rPr>
          <w:rFonts w:eastAsia="Calibri"/>
          <w:b/>
          <w:bCs/>
          <w:lang w:eastAsia="zh-CN"/>
        </w:rPr>
        <w:t>Challenges:</w:t>
      </w:r>
      <w:r w:rsidRPr="00A704A2">
        <w:rPr>
          <w:rFonts w:eastAsia="Calibri"/>
          <w:lang w:eastAsia="zh-CN"/>
        </w:rPr>
        <w:t xml:space="preserve"> Addressing socioeconomic barriers to healthcare, ensuring consistent technology operation in rural areas, and integrating interventions within existing healthcare structures.</w:t>
      </w:r>
    </w:p>
    <w:p w14:paraId="4A3FABE0" w14:textId="5920CD0D" w:rsidR="006711C1" w:rsidRPr="00A704A2" w:rsidRDefault="00A704A2" w:rsidP="00A704A2">
      <w:pPr>
        <w:pStyle w:val="Heading2"/>
      </w:pPr>
      <w:r>
        <w:rPr>
          <w:noProof/>
        </w:rPr>
        <w:drawing>
          <wp:anchor distT="0" distB="0" distL="114300" distR="114300" simplePos="0" relativeHeight="251674624" behindDoc="0" locked="0" layoutInCell="1" allowOverlap="1" wp14:anchorId="79E9FDC5" wp14:editId="46DEB73E">
            <wp:simplePos x="0" y="0"/>
            <wp:positionH relativeFrom="column">
              <wp:posOffset>3175</wp:posOffset>
            </wp:positionH>
            <wp:positionV relativeFrom="paragraph">
              <wp:posOffset>21590</wp:posOffset>
            </wp:positionV>
            <wp:extent cx="287655" cy="287655"/>
            <wp:effectExtent l="0" t="0" r="0" b="0"/>
            <wp:wrapSquare wrapText="bothSides"/>
            <wp:docPr id="20" name="Graphic 20" descr="Footprint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descr="Footprints with solid fill"/>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006711C1">
        <w:t>Next steps</w:t>
      </w:r>
    </w:p>
    <w:p w14:paraId="060FF19E" w14:textId="77777777" w:rsidR="00A704A2" w:rsidRDefault="00A704A2" w:rsidP="00A704A2">
      <w:r w:rsidRPr="002A30D9">
        <w:rPr>
          <w:b/>
          <w:bCs/>
        </w:rPr>
        <w:t>Expansion and Policy Integration:</w:t>
      </w:r>
      <w:r>
        <w:t xml:space="preserve"> Opportunities for scaling the model to other regions and </w:t>
      </w:r>
      <w:proofErr w:type="gramStart"/>
      <w:r>
        <w:t>diseases, and</w:t>
      </w:r>
      <w:proofErr w:type="gramEnd"/>
      <w:r>
        <w:t xml:space="preserve"> advocating for the integration of successful strategies into national health policies.</w:t>
      </w:r>
    </w:p>
    <w:p w14:paraId="07B1930F" w14:textId="2CB4E5EF" w:rsidR="006711C1" w:rsidRDefault="00A704A2" w:rsidP="00A704A2">
      <w:r w:rsidRPr="002A30D9">
        <w:rPr>
          <w:b/>
          <w:bCs/>
        </w:rPr>
        <w:t>Long-Term Sustainability Focus:</w:t>
      </w:r>
      <w:r>
        <w:t xml:space="preserve"> Emphasizing the integration of the project into Kenya's national healthcare system for enduring impact.</w:t>
      </w:r>
    </w:p>
    <w:p w14:paraId="2B7B54B8" w14:textId="7FD168E0" w:rsidR="002F3171" w:rsidRDefault="002F3171" w:rsidP="002F3171">
      <w:pPr>
        <w:pStyle w:val="Heading2"/>
      </w:pPr>
      <w:r>
        <w:t>References</w:t>
      </w:r>
    </w:p>
    <w:p w14:paraId="59267575" w14:textId="2947E6F2" w:rsidR="00A704A2" w:rsidRDefault="00A704A2" w:rsidP="006711C1">
      <w:r w:rsidRPr="00A704A2">
        <w:t xml:space="preserve">Thakkar, A., Valente, T., </w:t>
      </w:r>
      <w:proofErr w:type="spellStart"/>
      <w:r w:rsidRPr="00A704A2">
        <w:t>Andesia</w:t>
      </w:r>
      <w:proofErr w:type="spellEnd"/>
      <w:r w:rsidRPr="00A704A2">
        <w:t xml:space="preserve">, J., Njuguna, B., </w:t>
      </w:r>
      <w:proofErr w:type="spellStart"/>
      <w:r w:rsidRPr="00A704A2">
        <w:t>Miheso</w:t>
      </w:r>
      <w:proofErr w:type="spellEnd"/>
      <w:r w:rsidRPr="00A704A2">
        <w:t xml:space="preserve">, J., Mercer, T., Mugo, R., Mwangi, A., Mwangi, E., </w:t>
      </w:r>
      <w:proofErr w:type="spellStart"/>
      <w:r w:rsidRPr="00A704A2">
        <w:t>Pastakia</w:t>
      </w:r>
      <w:proofErr w:type="spellEnd"/>
      <w:r w:rsidRPr="00A704A2">
        <w:t xml:space="preserve">, S. D., Pathak, S., Pillsbury, M. K. M., Kamano, J., </w:t>
      </w:r>
      <w:proofErr w:type="spellStart"/>
      <w:r w:rsidRPr="00A704A2">
        <w:t>Naanyu</w:t>
      </w:r>
      <w:proofErr w:type="spellEnd"/>
      <w:r w:rsidRPr="00A704A2">
        <w:t xml:space="preserve">, V., Williams, M., </w:t>
      </w:r>
      <w:proofErr w:type="spellStart"/>
      <w:r w:rsidRPr="00A704A2">
        <w:t>Vedanthan</w:t>
      </w:r>
      <w:proofErr w:type="spellEnd"/>
      <w:r w:rsidRPr="00A704A2">
        <w:t xml:space="preserve">, R., </w:t>
      </w:r>
      <w:proofErr w:type="spellStart"/>
      <w:r w:rsidRPr="00A704A2">
        <w:t>Akwanalo</w:t>
      </w:r>
      <w:proofErr w:type="spellEnd"/>
      <w:r w:rsidRPr="00A704A2">
        <w:t xml:space="preserve">, C., &amp; Bloomfield, G. S. (2022). Network characteristics of a referral system for patients with hypertension in Western Kenya: results from the Strengthening Referral Networks for Management of Hypertension Across the Health System (STRENGTHS) study. BMC health services research, 22(1), 315. </w:t>
      </w:r>
      <w:hyperlink r:id="rId29" w:history="1">
        <w:r w:rsidRPr="006E34FB">
          <w:rPr>
            <w:rStyle w:val="Hyperlink"/>
          </w:rPr>
          <w:t>https://doi.org/10.1186/s12913-022-07699-8</w:t>
        </w:r>
      </w:hyperlink>
    </w:p>
    <w:p w14:paraId="009937FE" w14:textId="406BBF7A" w:rsidR="00A704A2" w:rsidRPr="006961DD" w:rsidRDefault="00A704A2" w:rsidP="006711C1">
      <w:proofErr w:type="spellStart"/>
      <w:r w:rsidRPr="00A704A2">
        <w:t>Akwanalo</w:t>
      </w:r>
      <w:proofErr w:type="spellEnd"/>
      <w:r w:rsidRPr="00A704A2">
        <w:t xml:space="preserve">, C., Njuguna, B., Mercer, T., </w:t>
      </w:r>
      <w:proofErr w:type="spellStart"/>
      <w:r w:rsidRPr="00A704A2">
        <w:t>Pastakia</w:t>
      </w:r>
      <w:proofErr w:type="spellEnd"/>
      <w:r w:rsidRPr="00A704A2">
        <w:t xml:space="preserve">, S. D., Mwangi, A., Dick, J., Dickhaus, J., </w:t>
      </w:r>
      <w:proofErr w:type="spellStart"/>
      <w:r w:rsidRPr="00A704A2">
        <w:t>Andesia</w:t>
      </w:r>
      <w:proofErr w:type="spellEnd"/>
      <w:r w:rsidRPr="00A704A2">
        <w:t xml:space="preserve">, J., Bloomfield, G. S., Valente, T., </w:t>
      </w:r>
      <w:proofErr w:type="spellStart"/>
      <w:r w:rsidRPr="00A704A2">
        <w:t>Kibachio</w:t>
      </w:r>
      <w:proofErr w:type="spellEnd"/>
      <w:r w:rsidRPr="00A704A2">
        <w:t xml:space="preserve">, J., Pillsbury, M., Pathak, S., Thakkar, A., </w:t>
      </w:r>
      <w:proofErr w:type="spellStart"/>
      <w:r w:rsidRPr="00A704A2">
        <w:t>Vedanthan</w:t>
      </w:r>
      <w:proofErr w:type="spellEnd"/>
      <w:r w:rsidRPr="00A704A2">
        <w:t xml:space="preserve">, R., Kamano, J., &amp; </w:t>
      </w:r>
      <w:proofErr w:type="spellStart"/>
      <w:r w:rsidRPr="00A704A2">
        <w:t>Naanyu</w:t>
      </w:r>
      <w:proofErr w:type="spellEnd"/>
      <w:r w:rsidRPr="00A704A2">
        <w:t xml:space="preserve">, V. (2019). Strategies for Effective Stakeholder Engagement in Strengthening Referral Networks for Management of Hypertension Across Health Systems in Kenya. Global heart, 14(2), 173–179. </w:t>
      </w:r>
      <w:hyperlink r:id="rId30" w:history="1">
        <w:r w:rsidR="00634AAD" w:rsidRPr="006E34FB">
          <w:rPr>
            <w:rStyle w:val="Hyperlink"/>
          </w:rPr>
          <w:t>https://doi.org/10.1016/j.gheart.2019.06.003</w:t>
        </w:r>
      </w:hyperlink>
      <w:r w:rsidR="00634AAD">
        <w:t xml:space="preserve"> </w:t>
      </w:r>
    </w:p>
    <w:p w14:paraId="3B6ADEF5" w14:textId="4D40AD5F" w:rsidR="00D05616" w:rsidRDefault="00A704A2">
      <w:pPr>
        <w:spacing w:after="120" w:line="240" w:lineRule="auto"/>
      </w:pPr>
      <w:r w:rsidRPr="00A704A2">
        <w:t xml:space="preserve">Pillsbury, M. K. M., Mwangi, E., </w:t>
      </w:r>
      <w:proofErr w:type="spellStart"/>
      <w:r w:rsidRPr="00A704A2">
        <w:t>Andesia</w:t>
      </w:r>
      <w:proofErr w:type="spellEnd"/>
      <w:r w:rsidRPr="00A704A2">
        <w:t xml:space="preserve">, J., Njuguna, B., Bloomfield, G. S., Chepchumba, A., Kamano, J., Mercer, T., </w:t>
      </w:r>
      <w:proofErr w:type="spellStart"/>
      <w:r w:rsidRPr="00A704A2">
        <w:t>Miheso</w:t>
      </w:r>
      <w:proofErr w:type="spellEnd"/>
      <w:r w:rsidRPr="00A704A2">
        <w:t xml:space="preserve">, J., </w:t>
      </w:r>
      <w:proofErr w:type="spellStart"/>
      <w:r w:rsidRPr="00A704A2">
        <w:t>Pastakia</w:t>
      </w:r>
      <w:proofErr w:type="spellEnd"/>
      <w:r w:rsidRPr="00A704A2">
        <w:t xml:space="preserve">, S. D., Pathak, S., Thakkar, A., </w:t>
      </w:r>
      <w:proofErr w:type="spellStart"/>
      <w:r w:rsidRPr="00A704A2">
        <w:t>Naanyu</w:t>
      </w:r>
      <w:proofErr w:type="spellEnd"/>
      <w:r w:rsidRPr="00A704A2">
        <w:t xml:space="preserve">, V., </w:t>
      </w:r>
      <w:proofErr w:type="spellStart"/>
      <w:r w:rsidRPr="00A704A2">
        <w:t>Akwanalo</w:t>
      </w:r>
      <w:proofErr w:type="spellEnd"/>
      <w:r w:rsidRPr="00A704A2">
        <w:t xml:space="preserve">, C., &amp; </w:t>
      </w:r>
      <w:proofErr w:type="spellStart"/>
      <w:r w:rsidRPr="00A704A2">
        <w:t>Vedanthan</w:t>
      </w:r>
      <w:proofErr w:type="spellEnd"/>
      <w:r w:rsidRPr="00A704A2">
        <w:t xml:space="preserve">, R. (2021). Human-centered implementation research: a new approach to develop and evaluate implementation strategies for strengthening referral networks for hypertension in western Kenya. BMC health services research, 21(1), 910. </w:t>
      </w:r>
      <w:hyperlink r:id="rId31" w:history="1">
        <w:r w:rsidRPr="006E34FB">
          <w:rPr>
            <w:rStyle w:val="Hyperlink"/>
          </w:rPr>
          <w:t>https://doi.org/10.1186/s12913-021-06930-2</w:t>
        </w:r>
      </w:hyperlink>
    </w:p>
    <w:p w14:paraId="1834CA19" w14:textId="46219EE3" w:rsidR="00A704A2" w:rsidRDefault="00A704A2">
      <w:pPr>
        <w:spacing w:after="120" w:line="240" w:lineRule="auto"/>
      </w:pPr>
      <w:r w:rsidRPr="00A704A2">
        <w:t xml:space="preserve">Mercer, T., Njuguna, B., Bloomfield, G. S., Dick, J., Finkelstein, E., Kamano, J., Mwangi, A., </w:t>
      </w:r>
      <w:proofErr w:type="spellStart"/>
      <w:r w:rsidRPr="00A704A2">
        <w:t>Naanyu</w:t>
      </w:r>
      <w:proofErr w:type="spellEnd"/>
      <w:r w:rsidRPr="00A704A2">
        <w:t xml:space="preserve">, V., </w:t>
      </w:r>
      <w:proofErr w:type="spellStart"/>
      <w:r w:rsidRPr="00A704A2">
        <w:t>Pastakia</w:t>
      </w:r>
      <w:proofErr w:type="spellEnd"/>
      <w:r w:rsidRPr="00A704A2">
        <w:t xml:space="preserve">, S. D., Valente, T. W., </w:t>
      </w:r>
      <w:proofErr w:type="spellStart"/>
      <w:r w:rsidRPr="00A704A2">
        <w:t>Vedanthan</w:t>
      </w:r>
      <w:proofErr w:type="spellEnd"/>
      <w:r w:rsidRPr="00A704A2">
        <w:t xml:space="preserve">, R., &amp; </w:t>
      </w:r>
      <w:proofErr w:type="spellStart"/>
      <w:r w:rsidRPr="00A704A2">
        <w:t>Akwanalo</w:t>
      </w:r>
      <w:proofErr w:type="spellEnd"/>
      <w:r w:rsidRPr="00A704A2">
        <w:t xml:space="preserve">, C. (2019). Strengthening Referral Networks for Management of Hypertension Across the Health System (STRENGTHS) in western Kenya: a study protocol of a cluster randomized trial. Trials, 20(1), 554. </w:t>
      </w:r>
      <w:hyperlink r:id="rId32" w:history="1">
        <w:r w:rsidR="00634AAD" w:rsidRPr="006E34FB">
          <w:rPr>
            <w:rStyle w:val="Hyperlink"/>
          </w:rPr>
          <w:t>https://doi.org/10.1186/s13063-019-3661-4</w:t>
        </w:r>
      </w:hyperlink>
      <w:r w:rsidR="00634AAD">
        <w:t xml:space="preserve"> </w:t>
      </w:r>
    </w:p>
    <w:p w14:paraId="12D93A1E" w14:textId="32974799" w:rsidR="00F6036E" w:rsidRDefault="00F6036E">
      <w:pPr>
        <w:spacing w:after="120" w:line="240" w:lineRule="auto"/>
      </w:pPr>
    </w:p>
    <w:p w14:paraId="2587E58D" w14:textId="0AD0E067" w:rsidR="00F6036E" w:rsidRPr="00641B60" w:rsidRDefault="00F6036E" w:rsidP="00F6036E">
      <w:pPr>
        <w:rPr>
          <w:rFonts w:ascii="Calibri" w:eastAsia="Calibri" w:hAnsi="Calibri" w:cs="Calibri"/>
          <w:sz w:val="28"/>
          <w:szCs w:val="28"/>
        </w:rPr>
      </w:pPr>
      <w:r>
        <w:rPr>
          <w:noProof/>
        </w:rPr>
        <w:lastRenderedPageBreak/>
        <mc:AlternateContent>
          <mc:Choice Requires="wpg">
            <w:drawing>
              <wp:anchor distT="0" distB="0" distL="114300" distR="114300" simplePos="0" relativeHeight="251676672" behindDoc="1" locked="0" layoutInCell="1" allowOverlap="1" wp14:anchorId="3682FC43" wp14:editId="4B8CB159">
                <wp:simplePos x="0" y="0"/>
                <wp:positionH relativeFrom="page">
                  <wp:posOffset>1190088</wp:posOffset>
                </wp:positionH>
                <wp:positionV relativeFrom="page">
                  <wp:posOffset>1914557</wp:posOffset>
                </wp:positionV>
                <wp:extent cx="5753735" cy="0"/>
                <wp:effectExtent l="0" t="12700" r="12065" b="1270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3735" cy="0"/>
                          <a:chOff x="1743" y="9298"/>
                          <a:chExt cx="9061" cy="0"/>
                        </a:xfrm>
                      </wpg:grpSpPr>
                      <wps:wsp>
                        <wps:cNvPr id="2" name="Freeform 2"/>
                        <wps:cNvSpPr>
                          <a:spLocks/>
                        </wps:cNvSpPr>
                        <wps:spPr bwMode="auto">
                          <a:xfrm>
                            <a:off x="1743" y="9298"/>
                            <a:ext cx="9061" cy="0"/>
                          </a:xfrm>
                          <a:custGeom>
                            <a:avLst/>
                            <a:gdLst>
                              <a:gd name="T0" fmla="+- 0 1743 1743"/>
                              <a:gd name="T1" fmla="*/ T0 w 9061"/>
                              <a:gd name="T2" fmla="+- 0 10804 1743"/>
                              <a:gd name="T3" fmla="*/ T2 w 9061"/>
                            </a:gdLst>
                            <a:ahLst/>
                            <a:cxnLst>
                              <a:cxn ang="0">
                                <a:pos x="T1" y="0"/>
                              </a:cxn>
                              <a:cxn ang="0">
                                <a:pos x="T3" y="0"/>
                              </a:cxn>
                            </a:cxnLst>
                            <a:rect l="0" t="0" r="r" b="b"/>
                            <a:pathLst>
                              <a:path w="9061">
                                <a:moveTo>
                                  <a:pt x="0" y="0"/>
                                </a:moveTo>
                                <a:lnTo>
                                  <a:pt x="9061" y="0"/>
                                </a:lnTo>
                              </a:path>
                            </a:pathLst>
                          </a:custGeom>
                          <a:noFill/>
                          <a:ln w="29464">
                            <a:solidFill>
                              <a:srgbClr val="FF86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B2689E" id="Group 1" o:spid="_x0000_s1026" style="position:absolute;margin-left:93.7pt;margin-top:150.75pt;width:453.05pt;height:0;z-index:-251639808;mso-position-horizontal-relative:page;mso-position-vertical-relative:page" coordorigin="1743,9298" coordsize="90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">
                <v:shape id="Freeform 2" o:spid="_x0000_s1027" style="position:absolute;left:1743;top:9298;width:9061;height:0;visibility:visible;mso-wrap-style:square;v-text-anchor:top" coordsize="90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" path="m,l9061,e" filled="f" strokecolor="#ff864f" strokeweight="2.32pt">
                  <v:path arrowok="t" o:connecttype="custom" o:connectlocs="0,0;9061,0" o:connectangles="0,0"/>
                </v:shape>
                <w10:wrap anchorx="page" anchory="page"/>
              </v:group>
            </w:pict>
          </mc:Fallback>
        </mc:AlternateContent>
      </w:r>
      <w:r>
        <w:rPr>
          <w:rFonts w:ascii="Calibri" w:eastAsia="Calibri" w:hAnsi="Calibri" w:cs="Calibri"/>
          <w:b/>
          <w:noProof/>
          <w:color w:val="73908F"/>
          <w:sz w:val="28"/>
          <w:szCs w:val="28"/>
        </w:rPr>
        <w:drawing>
          <wp:inline distT="0" distB="0" distL="0" distR="0" wp14:anchorId="5DD85E1B" wp14:editId="7C68C6EB">
            <wp:extent cx="359508" cy="359508"/>
            <wp:effectExtent l="0" t="0" r="0" b="0"/>
            <wp:docPr id="115" name="Graphic 115" descr="Presentation with checklis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Graphic 115" descr="Presentation with checklist with solid fill"/>
                    <pic:cNvPicPr/>
                  </pic:nvPicPr>
                  <pic:blipFill>
                    <a:blip r:embed="rId33" cstate="print">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359508" cy="359508"/>
                    </a:xfrm>
                    <a:prstGeom prst="rect">
                      <a:avLst/>
                    </a:prstGeom>
                  </pic:spPr>
                </pic:pic>
              </a:graphicData>
            </a:graphic>
          </wp:inline>
        </w:drawing>
      </w:r>
      <w:r>
        <w:rPr>
          <w:rFonts w:ascii="Calibri" w:eastAsia="Calibri" w:hAnsi="Calibri" w:cs="Calibri"/>
          <w:b/>
          <w:color w:val="73908F"/>
          <w:sz w:val="28"/>
          <w:szCs w:val="28"/>
        </w:rPr>
        <w:t xml:space="preserve">   Key learning objectives </w:t>
      </w:r>
    </w:p>
    <w:p w14:paraId="0E0686F0" w14:textId="77777777" w:rsidR="00F6036E" w:rsidRPr="00F6036E" w:rsidRDefault="00F6036E" w:rsidP="00F6036E">
      <w:pPr>
        <w:pStyle w:val="ListParagraph"/>
        <w:numPr>
          <w:ilvl w:val="0"/>
          <w:numId w:val="13"/>
        </w:numPr>
        <w:spacing w:after="0" w:line="240" w:lineRule="auto"/>
        <w:rPr>
          <w:rFonts w:eastAsia="Times New Roman" w:cstheme="minorHAnsi"/>
          <w:sz w:val="24"/>
          <w:szCs w:val="24"/>
          <w:lang w:eastAsia="ja-JP"/>
        </w:rPr>
      </w:pPr>
      <w:r w:rsidRPr="00F6036E">
        <w:rPr>
          <w:rFonts w:eastAsia="Times New Roman" w:cstheme="minorHAnsi"/>
          <w:sz w:val="24"/>
          <w:szCs w:val="24"/>
          <w:lang w:eastAsia="ja-JP"/>
        </w:rPr>
        <w:t>Understand how integrating HIT can improve hypertension management and enhance referral networks in low-resource settings.</w:t>
      </w:r>
    </w:p>
    <w:p w14:paraId="2B735B83" w14:textId="77777777" w:rsidR="00F6036E" w:rsidRPr="00F6036E" w:rsidRDefault="00F6036E" w:rsidP="00F6036E">
      <w:pPr>
        <w:pStyle w:val="ListParagraph"/>
        <w:numPr>
          <w:ilvl w:val="0"/>
          <w:numId w:val="13"/>
        </w:numPr>
        <w:spacing w:after="0" w:line="240" w:lineRule="auto"/>
        <w:rPr>
          <w:rFonts w:eastAsia="Times New Roman" w:cstheme="minorHAnsi"/>
          <w:sz w:val="24"/>
          <w:szCs w:val="24"/>
          <w:lang w:eastAsia="ja-JP"/>
        </w:rPr>
      </w:pPr>
      <w:r w:rsidRPr="00F6036E">
        <w:rPr>
          <w:rFonts w:eastAsia="Times New Roman" w:cstheme="minorHAnsi"/>
          <w:sz w:val="24"/>
          <w:szCs w:val="24"/>
          <w:lang w:eastAsia="ja-JP"/>
        </w:rPr>
        <w:t>Recognise the importance of peer navigators in supporting patients and improving adherence to hypertension management strategies.</w:t>
      </w:r>
    </w:p>
    <w:p w14:paraId="038A7E85" w14:textId="77777777" w:rsidR="00F6036E" w:rsidRPr="00F6036E" w:rsidRDefault="00F6036E" w:rsidP="00F6036E">
      <w:pPr>
        <w:pStyle w:val="ListParagraph"/>
        <w:numPr>
          <w:ilvl w:val="0"/>
          <w:numId w:val="13"/>
        </w:numPr>
        <w:spacing w:after="0" w:line="240" w:lineRule="auto"/>
        <w:rPr>
          <w:rFonts w:eastAsia="Times New Roman" w:cstheme="minorHAnsi"/>
          <w:sz w:val="24"/>
          <w:szCs w:val="24"/>
          <w:lang w:eastAsia="ja-JP"/>
        </w:rPr>
      </w:pPr>
      <w:r w:rsidRPr="00F6036E">
        <w:rPr>
          <w:rFonts w:eastAsia="Times New Roman" w:cstheme="minorHAnsi"/>
          <w:sz w:val="24"/>
          <w:szCs w:val="24"/>
          <w:lang w:eastAsia="ja-JP"/>
        </w:rPr>
        <w:t>Learn how engaging local communities and stakeholders through assemblies and focus groups can help tailor and refine healthcare interventions to better suit local contexts.</w:t>
      </w:r>
    </w:p>
    <w:p w14:paraId="70A282FC" w14:textId="7117A992" w:rsidR="00F6036E" w:rsidRDefault="00F6036E">
      <w:pPr>
        <w:spacing w:after="120" w:line="240" w:lineRule="auto"/>
      </w:pPr>
    </w:p>
    <w:sectPr w:rsidR="00F6036E" w:rsidSect="00FC0011">
      <w:headerReference w:type="default" r:id="rId35"/>
      <w:footerReference w:type="default" r:id="rId3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01DC06" w14:textId="77777777" w:rsidR="00863620" w:rsidRDefault="00863620" w:rsidP="00A33673">
      <w:pPr>
        <w:spacing w:after="0"/>
      </w:pPr>
      <w:r>
        <w:separator/>
      </w:r>
    </w:p>
  </w:endnote>
  <w:endnote w:type="continuationSeparator" w:id="0">
    <w:p w14:paraId="61242A66" w14:textId="77777777" w:rsidR="00863620" w:rsidRDefault="00863620" w:rsidP="00A336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2452432"/>
      <w:docPartObj>
        <w:docPartGallery w:val="Page Numbers (Bottom of Page)"/>
        <w:docPartUnique/>
      </w:docPartObj>
    </w:sdtPr>
    <w:sdtEndPr/>
    <w:sdtContent>
      <w:sdt>
        <w:sdtPr>
          <w:id w:val="1728636285"/>
          <w:docPartObj>
            <w:docPartGallery w:val="Page Numbers (Top of Page)"/>
            <w:docPartUnique/>
          </w:docPartObj>
        </w:sdtPr>
        <w:sdtEndPr/>
        <w:sdtContent>
          <w:p w14:paraId="647265D8" w14:textId="77777777" w:rsidR="00A33673" w:rsidRDefault="00A33673" w:rsidP="00A33673">
            <w:pPr>
              <w:pStyle w:val="Footer"/>
              <w:jc w:val="center"/>
            </w:pPr>
          </w:p>
          <w:p w14:paraId="13B9F54D" w14:textId="77777777" w:rsidR="00A33673" w:rsidRDefault="00A33673" w:rsidP="00A3367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577589" w14:textId="77777777" w:rsidR="00863620" w:rsidRDefault="00863620" w:rsidP="00A33673">
      <w:pPr>
        <w:spacing w:after="0"/>
      </w:pPr>
      <w:r>
        <w:separator/>
      </w:r>
    </w:p>
  </w:footnote>
  <w:footnote w:type="continuationSeparator" w:id="0">
    <w:p w14:paraId="155AD304" w14:textId="77777777" w:rsidR="00863620" w:rsidRDefault="00863620" w:rsidP="00A3367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4"/>
      <w:gridCol w:w="2805"/>
      <w:gridCol w:w="1275"/>
    </w:tblGrid>
    <w:tr w:rsidR="005C6121" w14:paraId="54E1E65D" w14:textId="77777777" w:rsidTr="005C6121">
      <w:trPr>
        <w:jc w:val="center"/>
      </w:trPr>
      <w:tc>
        <w:tcPr>
          <w:tcW w:w="2724" w:type="dxa"/>
          <w:vAlign w:val="center"/>
        </w:tcPr>
        <w:p w14:paraId="6FA4D5C4" w14:textId="77777777" w:rsidR="005C6121" w:rsidRDefault="005C6121" w:rsidP="005C6121">
          <w:pPr>
            <w:spacing w:after="0"/>
            <w:jc w:val="center"/>
          </w:pPr>
          <w:r>
            <w:rPr>
              <w:noProof/>
            </w:rPr>
            <w:drawing>
              <wp:inline distT="0" distB="0" distL="0" distR="0" wp14:anchorId="794F7358" wp14:editId="61FFEC05">
                <wp:extent cx="1859336" cy="328863"/>
                <wp:effectExtent l="0" t="0" r="0" b="0"/>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 cstate="print">
                          <a:alphaModFix amt="35000"/>
                          <a:extLst>
                            <a:ext uri="{28A0092B-C50C-407E-A947-70E740481C1C}">
                              <a14:useLocalDpi xmlns:a14="http://schemas.microsoft.com/office/drawing/2010/main" val="0"/>
                            </a:ext>
                          </a:extLst>
                        </a:blip>
                        <a:srcRect/>
                        <a:stretch>
                          <a:fillRect/>
                        </a:stretch>
                      </pic:blipFill>
                      <pic:spPr bwMode="auto">
                        <a:xfrm>
                          <a:off x="0" y="0"/>
                          <a:ext cx="1913050" cy="338363"/>
                        </a:xfrm>
                        <a:prstGeom prst="rect">
                          <a:avLst/>
                        </a:prstGeom>
                        <a:noFill/>
                        <a:ln>
                          <a:noFill/>
                        </a:ln>
                      </pic:spPr>
                    </pic:pic>
                  </a:graphicData>
                </a:graphic>
              </wp:inline>
            </w:drawing>
          </w:r>
        </w:p>
      </w:tc>
      <w:tc>
        <w:tcPr>
          <w:tcW w:w="2805" w:type="dxa"/>
          <w:vAlign w:val="center"/>
        </w:tcPr>
        <w:p w14:paraId="21A9A38F" w14:textId="77777777" w:rsidR="005C6121" w:rsidRDefault="005C6121" w:rsidP="005C6121">
          <w:pPr>
            <w:spacing w:after="0"/>
            <w:jc w:val="center"/>
          </w:pPr>
          <w:r>
            <w:rPr>
              <w:noProof/>
            </w:rPr>
            <w:drawing>
              <wp:inline distT="0" distB="0" distL="0" distR="0" wp14:anchorId="0AF6850C" wp14:editId="2433F10E">
                <wp:extent cx="1568583" cy="521582"/>
                <wp:effectExtent l="0" t="0" r="0" b="0"/>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company name&#10;&#10;Description automatically generated"/>
                        <pic:cNvPicPr>
                          <a:picLocks noChangeAspect="1" noChangeArrowheads="1"/>
                        </pic:cNvPicPr>
                      </pic:nvPicPr>
                      <pic:blipFill rotWithShape="1">
                        <a:blip r:embed="rId2" cstate="print">
                          <a:alphaModFix amt="35000"/>
                          <a:extLst>
                            <a:ext uri="{28A0092B-C50C-407E-A947-70E740481C1C}">
                              <a14:useLocalDpi xmlns:a14="http://schemas.microsoft.com/office/drawing/2010/main" val="0"/>
                            </a:ext>
                          </a:extLst>
                        </a:blip>
                        <a:srcRect t="16299" b="23675"/>
                        <a:stretch/>
                      </pic:blipFill>
                      <pic:spPr bwMode="auto">
                        <a:xfrm>
                          <a:off x="0" y="0"/>
                          <a:ext cx="1583597" cy="52657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75" w:type="dxa"/>
          <w:vAlign w:val="center"/>
        </w:tcPr>
        <w:p w14:paraId="03F47966" w14:textId="77777777" w:rsidR="005C6121" w:rsidRDefault="005C6121" w:rsidP="005C6121">
          <w:pPr>
            <w:spacing w:after="0"/>
          </w:pPr>
          <w:r>
            <w:rPr>
              <w:noProof/>
            </w:rPr>
            <w:drawing>
              <wp:inline distT="0" distB="0" distL="0" distR="0" wp14:anchorId="6ED65EB8" wp14:editId="0824CE62">
                <wp:extent cx="613644" cy="613644"/>
                <wp:effectExtent l="0" t="0" r="0" b="0"/>
                <wp:docPr id="11" name="Picture 11" descr="The University of Melbourne Logo PNG Transparent &amp;amp;amp; SVG Vector - Freebie  Supp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University of Melbourne Logo PNG Transparent &amp;amp;amp; SVG Vector - Freebie  Supply"/>
                        <pic:cNvPicPr>
                          <a:picLocks noChangeAspect="1" noChangeArrowheads="1"/>
                        </pic:cNvPicPr>
                      </pic:nvPicPr>
                      <pic:blipFill>
                        <a:blip r:embed="rId3" cstate="print">
                          <a:alphaModFix amt="35000"/>
                          <a:extLst>
                            <a:ext uri="{28A0092B-C50C-407E-A947-70E740481C1C}">
                              <a14:useLocalDpi xmlns:a14="http://schemas.microsoft.com/office/drawing/2010/main" val="0"/>
                            </a:ext>
                          </a:extLst>
                        </a:blip>
                        <a:srcRect/>
                        <a:stretch>
                          <a:fillRect/>
                        </a:stretch>
                      </pic:blipFill>
                      <pic:spPr bwMode="auto">
                        <a:xfrm>
                          <a:off x="0" y="0"/>
                          <a:ext cx="619348" cy="619348"/>
                        </a:xfrm>
                        <a:prstGeom prst="rect">
                          <a:avLst/>
                        </a:prstGeom>
                        <a:noFill/>
                        <a:ln>
                          <a:noFill/>
                        </a:ln>
                      </pic:spPr>
                    </pic:pic>
                  </a:graphicData>
                </a:graphic>
              </wp:inline>
            </w:drawing>
          </w:r>
        </w:p>
      </w:tc>
    </w:tr>
  </w:tbl>
  <w:p w14:paraId="6E963E93" w14:textId="3C67F0F2" w:rsidR="00AB2657" w:rsidRPr="00AB2657" w:rsidRDefault="00AB2657" w:rsidP="00AB2657">
    <w:pPr>
      <w:pStyle w:val="Header"/>
      <w:jc w:val="center"/>
      <w:rPr>
        <w:color w:val="AEAAAA" w:themeColor="background2" w:themeShade="BF"/>
      </w:rPr>
    </w:pPr>
    <w:r w:rsidRPr="00AB2657">
      <w:rPr>
        <w:color w:val="AEAAAA" w:themeColor="background2" w:themeShade="BF"/>
      </w:rPr>
      <w:t xml:space="preserve">IMPLEMENTATION SCIENCE E-HUB </w:t>
    </w:r>
    <w:r w:rsidRPr="00AB2657">
      <w:rPr>
        <w:b/>
        <w:bCs/>
        <w:color w:val="AEAAAA" w:themeColor="background2" w:themeShade="BF"/>
      </w:rPr>
      <w:t>CASE STUDY</w:t>
    </w:r>
  </w:p>
  <w:p w14:paraId="642A619B" w14:textId="77777777" w:rsidR="00AB2657" w:rsidRDefault="00AB2657" w:rsidP="00AB265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405DD"/>
    <w:multiLevelType w:val="hybridMultilevel"/>
    <w:tmpl w:val="417206E6"/>
    <w:lvl w:ilvl="0" w:tplc="6ED8C416">
      <w:start w:val="1"/>
      <w:numFmt w:val="bullet"/>
      <w:lvlText w:val=""/>
      <w:lvlJc w:val="left"/>
      <w:pPr>
        <w:ind w:left="720" w:hanging="360"/>
      </w:pPr>
      <w:rPr>
        <w:rFonts w:ascii="Wingdings" w:hAnsi="Wingdings" w:hint="default"/>
        <w:b/>
        <w:color w:val="FF874F" w:themeColor="accent1"/>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59241E"/>
    <w:multiLevelType w:val="hybridMultilevel"/>
    <w:tmpl w:val="89482B5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146616"/>
    <w:multiLevelType w:val="hybridMultilevel"/>
    <w:tmpl w:val="59302308"/>
    <w:lvl w:ilvl="0" w:tplc="6ED8C416">
      <w:start w:val="1"/>
      <w:numFmt w:val="bullet"/>
      <w:lvlText w:val=""/>
      <w:lvlJc w:val="left"/>
      <w:pPr>
        <w:ind w:left="720" w:hanging="360"/>
      </w:pPr>
      <w:rPr>
        <w:rFonts w:ascii="Wingdings" w:hAnsi="Wingdings" w:hint="default"/>
        <w:b/>
        <w:color w:val="FF874F" w:themeColor="accent1"/>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5E32F38"/>
    <w:multiLevelType w:val="hybridMultilevel"/>
    <w:tmpl w:val="4C0483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265DB9"/>
    <w:multiLevelType w:val="hybridMultilevel"/>
    <w:tmpl w:val="92B00F6C"/>
    <w:lvl w:ilvl="0" w:tplc="6ED8C416">
      <w:start w:val="1"/>
      <w:numFmt w:val="bullet"/>
      <w:lvlText w:val=""/>
      <w:lvlJc w:val="left"/>
      <w:pPr>
        <w:ind w:left="720" w:hanging="360"/>
      </w:pPr>
      <w:rPr>
        <w:rFonts w:ascii="Wingdings" w:hAnsi="Wingdings" w:hint="default"/>
        <w:b/>
        <w:color w:val="FF874F" w:themeColor="accent1"/>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7170A7"/>
    <w:multiLevelType w:val="hybridMultilevel"/>
    <w:tmpl w:val="176CEEF8"/>
    <w:lvl w:ilvl="0" w:tplc="12F6BF02">
      <w:start w:val="1"/>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B4585F"/>
    <w:multiLevelType w:val="hybridMultilevel"/>
    <w:tmpl w:val="DF020CF0"/>
    <w:lvl w:ilvl="0" w:tplc="6ED8C416">
      <w:start w:val="1"/>
      <w:numFmt w:val="bullet"/>
      <w:lvlText w:val=""/>
      <w:lvlJc w:val="left"/>
      <w:pPr>
        <w:ind w:left="720" w:hanging="360"/>
      </w:pPr>
      <w:rPr>
        <w:rFonts w:ascii="Wingdings" w:hAnsi="Wingdings" w:hint="default"/>
        <w:b/>
        <w:color w:val="FF874F" w:themeColor="accent1"/>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BE74D8"/>
    <w:multiLevelType w:val="multilevel"/>
    <w:tmpl w:val="8246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5071AD"/>
    <w:multiLevelType w:val="hybridMultilevel"/>
    <w:tmpl w:val="C9B6C3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684BF2"/>
    <w:multiLevelType w:val="hybridMultilevel"/>
    <w:tmpl w:val="70E2FFC8"/>
    <w:lvl w:ilvl="0" w:tplc="6ED8C416">
      <w:start w:val="1"/>
      <w:numFmt w:val="bullet"/>
      <w:lvlText w:val=""/>
      <w:lvlJc w:val="left"/>
      <w:pPr>
        <w:ind w:left="720" w:hanging="360"/>
      </w:pPr>
      <w:rPr>
        <w:rFonts w:ascii="Wingdings" w:hAnsi="Wingdings" w:hint="default"/>
        <w:b/>
        <w:color w:val="FF874F" w:themeColor="accent1"/>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4E55E7"/>
    <w:multiLevelType w:val="hybridMultilevel"/>
    <w:tmpl w:val="361411F4"/>
    <w:lvl w:ilvl="0" w:tplc="2D1A87A6">
      <w:start w:val="1"/>
      <w:numFmt w:val="bullet"/>
      <w:lvlText w:val=""/>
      <w:lvlJc w:val="left"/>
      <w:pPr>
        <w:ind w:left="720" w:hanging="360"/>
      </w:pPr>
      <w:rPr>
        <w:rFonts w:ascii="Wingdings" w:hAnsi="Wingdings" w:hint="default"/>
        <w:b/>
        <w:color w:val="FF874F" w:themeColor="accent1"/>
        <w:sz w:val="12"/>
        <w:szCs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9D782D"/>
    <w:multiLevelType w:val="hybridMultilevel"/>
    <w:tmpl w:val="1F6838C0"/>
    <w:lvl w:ilvl="0" w:tplc="6890B218">
      <w:start w:val="1"/>
      <w:numFmt w:val="bullet"/>
      <w:lvlText w:val=""/>
      <w:lvlJc w:val="left"/>
      <w:pPr>
        <w:ind w:left="720" w:hanging="360"/>
      </w:pPr>
      <w:rPr>
        <w:rFonts w:ascii="Wingdings" w:hAnsi="Wingdings" w:hint="default"/>
        <w:b/>
        <w:color w:val="FF874F" w:themeColor="accent1"/>
        <w:sz w:val="12"/>
        <w:szCs w:val="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135461"/>
    <w:multiLevelType w:val="hybridMultilevel"/>
    <w:tmpl w:val="55CC0ABA"/>
    <w:lvl w:ilvl="0" w:tplc="12F6BF02">
      <w:start w:val="1"/>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1C2E47"/>
    <w:multiLevelType w:val="hybridMultilevel"/>
    <w:tmpl w:val="4CCEF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8509818">
    <w:abstractNumId w:val="1"/>
  </w:num>
  <w:num w:numId="2" w16cid:durableId="707952474">
    <w:abstractNumId w:val="4"/>
  </w:num>
  <w:num w:numId="3" w16cid:durableId="1722710470">
    <w:abstractNumId w:val="0"/>
  </w:num>
  <w:num w:numId="4" w16cid:durableId="99569641">
    <w:abstractNumId w:val="10"/>
  </w:num>
  <w:num w:numId="5" w16cid:durableId="534390584">
    <w:abstractNumId w:val="11"/>
  </w:num>
  <w:num w:numId="6" w16cid:durableId="963777996">
    <w:abstractNumId w:val="12"/>
  </w:num>
  <w:num w:numId="7" w16cid:durableId="1857504003">
    <w:abstractNumId w:val="5"/>
  </w:num>
  <w:num w:numId="8" w16cid:durableId="266474978">
    <w:abstractNumId w:val="2"/>
  </w:num>
  <w:num w:numId="9" w16cid:durableId="175506154">
    <w:abstractNumId w:val="13"/>
  </w:num>
  <w:num w:numId="10" w16cid:durableId="1774009378">
    <w:abstractNumId w:val="9"/>
  </w:num>
  <w:num w:numId="11" w16cid:durableId="1270040498">
    <w:abstractNumId w:val="6"/>
  </w:num>
  <w:num w:numId="12" w16cid:durableId="832263829">
    <w:abstractNumId w:val="7"/>
  </w:num>
  <w:num w:numId="13" w16cid:durableId="20478284">
    <w:abstractNumId w:val="3"/>
  </w:num>
  <w:num w:numId="14" w16cid:durableId="15254828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657"/>
    <w:rsid w:val="00020A01"/>
    <w:rsid w:val="00025187"/>
    <w:rsid w:val="000313BF"/>
    <w:rsid w:val="00033577"/>
    <w:rsid w:val="00035D5F"/>
    <w:rsid w:val="000415C5"/>
    <w:rsid w:val="00047B7C"/>
    <w:rsid w:val="00060037"/>
    <w:rsid w:val="00071A4A"/>
    <w:rsid w:val="000752CA"/>
    <w:rsid w:val="00077EC5"/>
    <w:rsid w:val="00081817"/>
    <w:rsid w:val="00087DDE"/>
    <w:rsid w:val="000919C9"/>
    <w:rsid w:val="000970E5"/>
    <w:rsid w:val="000A2CC7"/>
    <w:rsid w:val="000A6F02"/>
    <w:rsid w:val="000B6AC9"/>
    <w:rsid w:val="001157CA"/>
    <w:rsid w:val="00120F85"/>
    <w:rsid w:val="00133B12"/>
    <w:rsid w:val="0016134C"/>
    <w:rsid w:val="00170FEF"/>
    <w:rsid w:val="00176AB2"/>
    <w:rsid w:val="0018305E"/>
    <w:rsid w:val="00194E78"/>
    <w:rsid w:val="001A3791"/>
    <w:rsid w:val="001A6574"/>
    <w:rsid w:val="001E7BD4"/>
    <w:rsid w:val="001F0514"/>
    <w:rsid w:val="001F2D3B"/>
    <w:rsid w:val="0022676B"/>
    <w:rsid w:val="00227894"/>
    <w:rsid w:val="002313D6"/>
    <w:rsid w:val="00233E2F"/>
    <w:rsid w:val="00241C72"/>
    <w:rsid w:val="00255A0D"/>
    <w:rsid w:val="00273E30"/>
    <w:rsid w:val="002749D6"/>
    <w:rsid w:val="00274E1A"/>
    <w:rsid w:val="00277FD0"/>
    <w:rsid w:val="00295096"/>
    <w:rsid w:val="002A0253"/>
    <w:rsid w:val="002A148C"/>
    <w:rsid w:val="002A3061"/>
    <w:rsid w:val="002A30D9"/>
    <w:rsid w:val="002C59EB"/>
    <w:rsid w:val="002D0AC5"/>
    <w:rsid w:val="002E3807"/>
    <w:rsid w:val="002F3171"/>
    <w:rsid w:val="003242A4"/>
    <w:rsid w:val="00331297"/>
    <w:rsid w:val="00335BF4"/>
    <w:rsid w:val="00337E49"/>
    <w:rsid w:val="0034440B"/>
    <w:rsid w:val="003868BC"/>
    <w:rsid w:val="003A0316"/>
    <w:rsid w:val="003C6952"/>
    <w:rsid w:val="003E5C29"/>
    <w:rsid w:val="00404B2F"/>
    <w:rsid w:val="004213DD"/>
    <w:rsid w:val="004370EB"/>
    <w:rsid w:val="0043716B"/>
    <w:rsid w:val="004405BA"/>
    <w:rsid w:val="00456168"/>
    <w:rsid w:val="0045688D"/>
    <w:rsid w:val="004635B5"/>
    <w:rsid w:val="00464668"/>
    <w:rsid w:val="004725CA"/>
    <w:rsid w:val="00476644"/>
    <w:rsid w:val="0048017D"/>
    <w:rsid w:val="004A61EA"/>
    <w:rsid w:val="004A6C2B"/>
    <w:rsid w:val="004C5A23"/>
    <w:rsid w:val="004D2639"/>
    <w:rsid w:val="004D60BF"/>
    <w:rsid w:val="004F58A9"/>
    <w:rsid w:val="0050771A"/>
    <w:rsid w:val="0051576D"/>
    <w:rsid w:val="00521C82"/>
    <w:rsid w:val="0053320B"/>
    <w:rsid w:val="00533453"/>
    <w:rsid w:val="00534C82"/>
    <w:rsid w:val="00550D15"/>
    <w:rsid w:val="0055751F"/>
    <w:rsid w:val="00562062"/>
    <w:rsid w:val="00571F6D"/>
    <w:rsid w:val="0057366A"/>
    <w:rsid w:val="00583D07"/>
    <w:rsid w:val="005A016A"/>
    <w:rsid w:val="005A188D"/>
    <w:rsid w:val="005A5805"/>
    <w:rsid w:val="005A5EEC"/>
    <w:rsid w:val="005B10F0"/>
    <w:rsid w:val="005B28DE"/>
    <w:rsid w:val="005B4ADF"/>
    <w:rsid w:val="005B5133"/>
    <w:rsid w:val="005C1668"/>
    <w:rsid w:val="005C2002"/>
    <w:rsid w:val="005C6121"/>
    <w:rsid w:val="005D2DB8"/>
    <w:rsid w:val="005E2040"/>
    <w:rsid w:val="005E7B8C"/>
    <w:rsid w:val="005F22F5"/>
    <w:rsid w:val="00616EB6"/>
    <w:rsid w:val="0061789C"/>
    <w:rsid w:val="006250CD"/>
    <w:rsid w:val="006273E2"/>
    <w:rsid w:val="00631FC1"/>
    <w:rsid w:val="00634AAD"/>
    <w:rsid w:val="00655A9F"/>
    <w:rsid w:val="006711C1"/>
    <w:rsid w:val="0067283F"/>
    <w:rsid w:val="00685AB4"/>
    <w:rsid w:val="006B0C82"/>
    <w:rsid w:val="006B3FD3"/>
    <w:rsid w:val="006B7864"/>
    <w:rsid w:val="006C7032"/>
    <w:rsid w:val="006D1A22"/>
    <w:rsid w:val="006D7938"/>
    <w:rsid w:val="006E00F1"/>
    <w:rsid w:val="006E3686"/>
    <w:rsid w:val="006E37F1"/>
    <w:rsid w:val="006F35A2"/>
    <w:rsid w:val="00703AC8"/>
    <w:rsid w:val="00705C22"/>
    <w:rsid w:val="00706A07"/>
    <w:rsid w:val="0070700B"/>
    <w:rsid w:val="0072352B"/>
    <w:rsid w:val="00725052"/>
    <w:rsid w:val="00736484"/>
    <w:rsid w:val="00753877"/>
    <w:rsid w:val="0076476E"/>
    <w:rsid w:val="00765356"/>
    <w:rsid w:val="00766B3D"/>
    <w:rsid w:val="00777393"/>
    <w:rsid w:val="0078334E"/>
    <w:rsid w:val="0078778E"/>
    <w:rsid w:val="00793E41"/>
    <w:rsid w:val="007A1451"/>
    <w:rsid w:val="007A6893"/>
    <w:rsid w:val="007B473B"/>
    <w:rsid w:val="007B709D"/>
    <w:rsid w:val="007C0D41"/>
    <w:rsid w:val="007D5B09"/>
    <w:rsid w:val="00814F24"/>
    <w:rsid w:val="008225BB"/>
    <w:rsid w:val="00825B88"/>
    <w:rsid w:val="00855CF6"/>
    <w:rsid w:val="00860D33"/>
    <w:rsid w:val="008613EB"/>
    <w:rsid w:val="00863620"/>
    <w:rsid w:val="008928BF"/>
    <w:rsid w:val="008959B1"/>
    <w:rsid w:val="008A27B0"/>
    <w:rsid w:val="008A2E41"/>
    <w:rsid w:val="008A3393"/>
    <w:rsid w:val="008A5F9F"/>
    <w:rsid w:val="008C4BB4"/>
    <w:rsid w:val="008D3F8E"/>
    <w:rsid w:val="008E38C7"/>
    <w:rsid w:val="008E3BFD"/>
    <w:rsid w:val="008E498A"/>
    <w:rsid w:val="008F0B45"/>
    <w:rsid w:val="008F52B0"/>
    <w:rsid w:val="0091499B"/>
    <w:rsid w:val="00920C49"/>
    <w:rsid w:val="00933662"/>
    <w:rsid w:val="00933BF6"/>
    <w:rsid w:val="00937448"/>
    <w:rsid w:val="0094005B"/>
    <w:rsid w:val="009452FF"/>
    <w:rsid w:val="00954075"/>
    <w:rsid w:val="00957CB6"/>
    <w:rsid w:val="0096540B"/>
    <w:rsid w:val="0097411D"/>
    <w:rsid w:val="00986E7C"/>
    <w:rsid w:val="00987B1D"/>
    <w:rsid w:val="009C08FB"/>
    <w:rsid w:val="009D5D86"/>
    <w:rsid w:val="009F1869"/>
    <w:rsid w:val="00A02BFA"/>
    <w:rsid w:val="00A11B90"/>
    <w:rsid w:val="00A12A86"/>
    <w:rsid w:val="00A1700B"/>
    <w:rsid w:val="00A207CF"/>
    <w:rsid w:val="00A273C7"/>
    <w:rsid w:val="00A27F92"/>
    <w:rsid w:val="00A33673"/>
    <w:rsid w:val="00A41253"/>
    <w:rsid w:val="00A44CAB"/>
    <w:rsid w:val="00A57310"/>
    <w:rsid w:val="00A704A2"/>
    <w:rsid w:val="00A77B3D"/>
    <w:rsid w:val="00A858ED"/>
    <w:rsid w:val="00AA7880"/>
    <w:rsid w:val="00AB2657"/>
    <w:rsid w:val="00AB31BF"/>
    <w:rsid w:val="00AB5B73"/>
    <w:rsid w:val="00AC1DB0"/>
    <w:rsid w:val="00AC3B58"/>
    <w:rsid w:val="00AC5494"/>
    <w:rsid w:val="00AC74A1"/>
    <w:rsid w:val="00AD55D4"/>
    <w:rsid w:val="00AD684A"/>
    <w:rsid w:val="00AE092E"/>
    <w:rsid w:val="00AE0BF1"/>
    <w:rsid w:val="00AE3D1D"/>
    <w:rsid w:val="00B03D09"/>
    <w:rsid w:val="00B12DBF"/>
    <w:rsid w:val="00B17235"/>
    <w:rsid w:val="00B23276"/>
    <w:rsid w:val="00B31BA8"/>
    <w:rsid w:val="00B40019"/>
    <w:rsid w:val="00B4701B"/>
    <w:rsid w:val="00B57FFA"/>
    <w:rsid w:val="00B6023B"/>
    <w:rsid w:val="00B61480"/>
    <w:rsid w:val="00B8338A"/>
    <w:rsid w:val="00BA3319"/>
    <w:rsid w:val="00BC22E6"/>
    <w:rsid w:val="00BD112A"/>
    <w:rsid w:val="00BD4452"/>
    <w:rsid w:val="00BE228A"/>
    <w:rsid w:val="00BE7A96"/>
    <w:rsid w:val="00BF10EA"/>
    <w:rsid w:val="00C05DBA"/>
    <w:rsid w:val="00C11597"/>
    <w:rsid w:val="00C272FF"/>
    <w:rsid w:val="00C337F5"/>
    <w:rsid w:val="00C34CB1"/>
    <w:rsid w:val="00C57BF4"/>
    <w:rsid w:val="00C646C4"/>
    <w:rsid w:val="00CA529D"/>
    <w:rsid w:val="00CB67F7"/>
    <w:rsid w:val="00CD238B"/>
    <w:rsid w:val="00CE7467"/>
    <w:rsid w:val="00D05616"/>
    <w:rsid w:val="00D06466"/>
    <w:rsid w:val="00D12689"/>
    <w:rsid w:val="00D13CFB"/>
    <w:rsid w:val="00D20882"/>
    <w:rsid w:val="00D2441F"/>
    <w:rsid w:val="00D32DCF"/>
    <w:rsid w:val="00D35B25"/>
    <w:rsid w:val="00D44229"/>
    <w:rsid w:val="00D4722C"/>
    <w:rsid w:val="00D5254B"/>
    <w:rsid w:val="00D63AC3"/>
    <w:rsid w:val="00D723FF"/>
    <w:rsid w:val="00D74763"/>
    <w:rsid w:val="00D778E6"/>
    <w:rsid w:val="00D83326"/>
    <w:rsid w:val="00D90B19"/>
    <w:rsid w:val="00D92B3E"/>
    <w:rsid w:val="00DA3115"/>
    <w:rsid w:val="00DA3838"/>
    <w:rsid w:val="00DE2EF2"/>
    <w:rsid w:val="00DF1B0C"/>
    <w:rsid w:val="00DF68E7"/>
    <w:rsid w:val="00DF6E3D"/>
    <w:rsid w:val="00E058BE"/>
    <w:rsid w:val="00E10BBC"/>
    <w:rsid w:val="00E13D11"/>
    <w:rsid w:val="00E14909"/>
    <w:rsid w:val="00E37970"/>
    <w:rsid w:val="00E4006A"/>
    <w:rsid w:val="00E42C2D"/>
    <w:rsid w:val="00E44E6F"/>
    <w:rsid w:val="00E47225"/>
    <w:rsid w:val="00E50FD2"/>
    <w:rsid w:val="00E55076"/>
    <w:rsid w:val="00E56F0B"/>
    <w:rsid w:val="00E609DB"/>
    <w:rsid w:val="00E60CAC"/>
    <w:rsid w:val="00E65AAB"/>
    <w:rsid w:val="00E83E77"/>
    <w:rsid w:val="00E848EF"/>
    <w:rsid w:val="00E86064"/>
    <w:rsid w:val="00E86CEC"/>
    <w:rsid w:val="00E91FD4"/>
    <w:rsid w:val="00EB3192"/>
    <w:rsid w:val="00EC20AF"/>
    <w:rsid w:val="00ED43FE"/>
    <w:rsid w:val="00ED4B04"/>
    <w:rsid w:val="00EE3F21"/>
    <w:rsid w:val="00EE5554"/>
    <w:rsid w:val="00F2789D"/>
    <w:rsid w:val="00F30AE0"/>
    <w:rsid w:val="00F3285C"/>
    <w:rsid w:val="00F32A9D"/>
    <w:rsid w:val="00F33829"/>
    <w:rsid w:val="00F411F7"/>
    <w:rsid w:val="00F426E4"/>
    <w:rsid w:val="00F516E3"/>
    <w:rsid w:val="00F5736B"/>
    <w:rsid w:val="00F6036E"/>
    <w:rsid w:val="00F67C6F"/>
    <w:rsid w:val="00F7197C"/>
    <w:rsid w:val="00F71CFC"/>
    <w:rsid w:val="00F8610A"/>
    <w:rsid w:val="00F91284"/>
    <w:rsid w:val="00FB1542"/>
    <w:rsid w:val="00FB7A22"/>
    <w:rsid w:val="00FC0011"/>
    <w:rsid w:val="00FD695D"/>
    <w:rsid w:val="00FF7D2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8E19AD"/>
  <w15:chartTrackingRefBased/>
  <w15:docId w15:val="{04C385A0-6548-4017-B04A-0FC5090A8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GB"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657"/>
    <w:pPr>
      <w:spacing w:after="160" w:line="259" w:lineRule="auto"/>
    </w:pPr>
    <w:rPr>
      <w:rFonts w:eastAsia="SimSun"/>
      <w:lang w:val="en-AU" w:eastAsia="en-US"/>
    </w:rPr>
  </w:style>
  <w:style w:type="paragraph" w:styleId="Heading1">
    <w:name w:val="heading 1"/>
    <w:basedOn w:val="Normal"/>
    <w:next w:val="Normal"/>
    <w:link w:val="Heading1Char"/>
    <w:uiPriority w:val="9"/>
    <w:qFormat/>
    <w:rsid w:val="00A33673"/>
    <w:pPr>
      <w:keepNext/>
      <w:keepLines/>
      <w:pBdr>
        <w:bottom w:val="single" w:sz="24" w:space="1" w:color="FF874F" w:themeColor="accent1"/>
      </w:pBdr>
      <w:spacing w:before="240"/>
      <w:outlineLvl w:val="0"/>
    </w:pPr>
    <w:rPr>
      <w:rFonts w:eastAsiaTheme="majorEastAsia" w:cstheme="majorBidi"/>
      <w:b/>
      <w:color w:val="73908F" w:themeColor="accent6"/>
      <w:sz w:val="32"/>
      <w:szCs w:val="32"/>
    </w:rPr>
  </w:style>
  <w:style w:type="paragraph" w:styleId="Heading2">
    <w:name w:val="heading 2"/>
    <w:basedOn w:val="Normal"/>
    <w:next w:val="Normal"/>
    <w:link w:val="Heading2Char"/>
    <w:uiPriority w:val="9"/>
    <w:unhideWhenUsed/>
    <w:qFormat/>
    <w:rsid w:val="00A33673"/>
    <w:pPr>
      <w:keepNext/>
      <w:keepLines/>
      <w:pBdr>
        <w:bottom w:val="single" w:sz="18" w:space="1" w:color="FF874F" w:themeColor="accent1"/>
      </w:pBdr>
      <w:spacing w:before="120"/>
      <w:outlineLvl w:val="1"/>
    </w:pPr>
    <w:rPr>
      <w:rFonts w:eastAsiaTheme="majorEastAsia" w:cstheme="majorBidi"/>
      <w:b/>
      <w:color w:val="73908F" w:themeColor="accent6"/>
      <w:sz w:val="28"/>
      <w:szCs w:val="26"/>
    </w:rPr>
  </w:style>
  <w:style w:type="paragraph" w:styleId="Heading3">
    <w:name w:val="heading 3"/>
    <w:basedOn w:val="Normal"/>
    <w:next w:val="Normal"/>
    <w:link w:val="Heading3Char"/>
    <w:uiPriority w:val="9"/>
    <w:unhideWhenUsed/>
    <w:qFormat/>
    <w:rsid w:val="00A33673"/>
    <w:pPr>
      <w:keepNext/>
      <w:keepLines/>
      <w:pBdr>
        <w:top w:val="single" w:sz="12" w:space="1" w:color="FF874F" w:themeColor="accent1"/>
      </w:pBdr>
      <w:spacing w:before="120"/>
      <w:outlineLvl w:val="2"/>
    </w:pPr>
    <w:rPr>
      <w:rFonts w:eastAsiaTheme="majorEastAsia" w:cstheme="majorBidi"/>
      <w:b/>
      <w:color w:val="73908F" w:themeColor="accent6"/>
      <w:sz w:val="24"/>
      <w:szCs w:val="24"/>
    </w:rPr>
  </w:style>
  <w:style w:type="paragraph" w:styleId="Heading4">
    <w:name w:val="heading 4"/>
    <w:basedOn w:val="Normal"/>
    <w:next w:val="Normal"/>
    <w:link w:val="Heading4Char"/>
    <w:uiPriority w:val="9"/>
    <w:unhideWhenUsed/>
    <w:qFormat/>
    <w:rsid w:val="00A33673"/>
    <w:pPr>
      <w:keepNext/>
      <w:keepLines/>
      <w:pBdr>
        <w:top w:val="single" w:sz="6" w:space="1" w:color="FF874F" w:themeColor="accent1"/>
      </w:pBdr>
      <w:spacing w:before="120"/>
      <w:outlineLvl w:val="3"/>
    </w:pPr>
    <w:rPr>
      <w:rFonts w:eastAsiaTheme="majorEastAsia" w:cstheme="majorBidi"/>
      <w:i/>
      <w:iCs/>
      <w:color w:val="73908F" w:themeColor="accent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ACD-Heading1">
    <w:name w:val="GACD-Heading1"/>
    <w:next w:val="Normal"/>
    <w:link w:val="GACD-Heading1Char"/>
    <w:autoRedefine/>
    <w:qFormat/>
    <w:rsid w:val="00BA3319"/>
    <w:pPr>
      <w:pBdr>
        <w:bottom w:val="single" w:sz="4" w:space="1" w:color="FF874F"/>
      </w:pBdr>
    </w:pPr>
    <w:rPr>
      <w:b/>
      <w:color w:val="75908F"/>
      <w:sz w:val="32"/>
    </w:rPr>
  </w:style>
  <w:style w:type="character" w:customStyle="1" w:styleId="GACD-Heading1Char">
    <w:name w:val="GACD-Heading1 Char"/>
    <w:basedOn w:val="DefaultParagraphFont"/>
    <w:link w:val="GACD-Heading1"/>
    <w:rsid w:val="00BA3319"/>
    <w:rPr>
      <w:b/>
      <w:color w:val="75908F"/>
      <w:sz w:val="32"/>
    </w:rPr>
  </w:style>
  <w:style w:type="paragraph" w:customStyle="1" w:styleId="GACD-Heading2">
    <w:name w:val="GACD-Heading2"/>
    <w:basedOn w:val="GACD-Heading1"/>
    <w:next w:val="Normal"/>
    <w:link w:val="GACD-Heading2Char"/>
    <w:autoRedefine/>
    <w:qFormat/>
    <w:rsid w:val="00BA3319"/>
  </w:style>
  <w:style w:type="character" w:customStyle="1" w:styleId="GACD-Heading2Char">
    <w:name w:val="GACD-Heading2 Char"/>
    <w:basedOn w:val="GACD-Heading1Char"/>
    <w:link w:val="GACD-Heading2"/>
    <w:rsid w:val="00BA3319"/>
    <w:rPr>
      <w:b/>
      <w:color w:val="75908F"/>
      <w:sz w:val="32"/>
    </w:rPr>
  </w:style>
  <w:style w:type="paragraph" w:customStyle="1" w:styleId="GACD-Heading3">
    <w:name w:val="GACD-Heading3"/>
    <w:basedOn w:val="GACD-Heading1"/>
    <w:next w:val="Normal"/>
    <w:link w:val="GACD-Heading3Char"/>
    <w:autoRedefine/>
    <w:qFormat/>
    <w:rsid w:val="00BA3319"/>
    <w:pPr>
      <w:pBdr>
        <w:top w:val="single" w:sz="4" w:space="1" w:color="FF874F"/>
        <w:bottom w:val="none" w:sz="0" w:space="0" w:color="auto"/>
      </w:pBdr>
      <w:ind w:left="360" w:hanging="360"/>
    </w:pPr>
    <w:rPr>
      <w:sz w:val="24"/>
    </w:rPr>
  </w:style>
  <w:style w:type="character" w:customStyle="1" w:styleId="GACD-Heading3Char">
    <w:name w:val="GACD-Heading3 Char"/>
    <w:basedOn w:val="GACD-Heading1Char"/>
    <w:link w:val="GACD-Heading3"/>
    <w:rsid w:val="00BA3319"/>
    <w:rPr>
      <w:b/>
      <w:color w:val="75908F"/>
      <w:sz w:val="24"/>
    </w:rPr>
  </w:style>
  <w:style w:type="paragraph" w:styleId="Header">
    <w:name w:val="header"/>
    <w:basedOn w:val="Normal"/>
    <w:link w:val="HeaderChar"/>
    <w:uiPriority w:val="99"/>
    <w:unhideWhenUsed/>
    <w:rsid w:val="00A33673"/>
    <w:pPr>
      <w:tabs>
        <w:tab w:val="center" w:pos="4513"/>
        <w:tab w:val="right" w:pos="9026"/>
      </w:tabs>
      <w:spacing w:after="0"/>
    </w:pPr>
  </w:style>
  <w:style w:type="character" w:customStyle="1" w:styleId="HeaderChar">
    <w:name w:val="Header Char"/>
    <w:basedOn w:val="DefaultParagraphFont"/>
    <w:link w:val="Header"/>
    <w:uiPriority w:val="99"/>
    <w:rsid w:val="00A33673"/>
  </w:style>
  <w:style w:type="paragraph" w:styleId="Footer">
    <w:name w:val="footer"/>
    <w:basedOn w:val="Normal"/>
    <w:link w:val="FooterChar"/>
    <w:uiPriority w:val="99"/>
    <w:unhideWhenUsed/>
    <w:rsid w:val="00A33673"/>
    <w:pPr>
      <w:tabs>
        <w:tab w:val="center" w:pos="4513"/>
        <w:tab w:val="right" w:pos="9026"/>
      </w:tabs>
      <w:spacing w:after="0"/>
    </w:pPr>
  </w:style>
  <w:style w:type="character" w:customStyle="1" w:styleId="FooterChar">
    <w:name w:val="Footer Char"/>
    <w:basedOn w:val="DefaultParagraphFont"/>
    <w:link w:val="Footer"/>
    <w:uiPriority w:val="99"/>
    <w:rsid w:val="00A33673"/>
  </w:style>
  <w:style w:type="character" w:customStyle="1" w:styleId="Heading1Char">
    <w:name w:val="Heading 1 Char"/>
    <w:basedOn w:val="DefaultParagraphFont"/>
    <w:link w:val="Heading1"/>
    <w:uiPriority w:val="9"/>
    <w:rsid w:val="00A33673"/>
    <w:rPr>
      <w:rFonts w:eastAsiaTheme="majorEastAsia" w:cstheme="majorBidi"/>
      <w:b/>
      <w:color w:val="73908F" w:themeColor="accent6"/>
      <w:sz w:val="32"/>
      <w:szCs w:val="32"/>
    </w:rPr>
  </w:style>
  <w:style w:type="character" w:customStyle="1" w:styleId="Heading2Char">
    <w:name w:val="Heading 2 Char"/>
    <w:basedOn w:val="DefaultParagraphFont"/>
    <w:link w:val="Heading2"/>
    <w:uiPriority w:val="9"/>
    <w:rsid w:val="00A33673"/>
    <w:rPr>
      <w:rFonts w:eastAsiaTheme="majorEastAsia" w:cstheme="majorBidi"/>
      <w:b/>
      <w:color w:val="73908F" w:themeColor="accent6"/>
      <w:sz w:val="28"/>
      <w:szCs w:val="26"/>
    </w:rPr>
  </w:style>
  <w:style w:type="character" w:customStyle="1" w:styleId="Heading3Char">
    <w:name w:val="Heading 3 Char"/>
    <w:basedOn w:val="DefaultParagraphFont"/>
    <w:link w:val="Heading3"/>
    <w:uiPriority w:val="9"/>
    <w:rsid w:val="00A33673"/>
    <w:rPr>
      <w:rFonts w:eastAsiaTheme="majorEastAsia" w:cstheme="majorBidi"/>
      <w:b/>
      <w:color w:val="73908F" w:themeColor="accent6"/>
      <w:sz w:val="24"/>
      <w:szCs w:val="24"/>
    </w:rPr>
  </w:style>
  <w:style w:type="character" w:customStyle="1" w:styleId="Heading4Char">
    <w:name w:val="Heading 4 Char"/>
    <w:basedOn w:val="DefaultParagraphFont"/>
    <w:link w:val="Heading4"/>
    <w:uiPriority w:val="9"/>
    <w:rsid w:val="00A33673"/>
    <w:rPr>
      <w:rFonts w:eastAsiaTheme="majorEastAsia" w:cstheme="majorBidi"/>
      <w:i/>
      <w:iCs/>
      <w:color w:val="73908F" w:themeColor="accent6"/>
      <w:sz w:val="24"/>
    </w:rPr>
  </w:style>
  <w:style w:type="character" w:styleId="Hyperlink">
    <w:name w:val="Hyperlink"/>
    <w:basedOn w:val="DefaultParagraphFont"/>
    <w:uiPriority w:val="99"/>
    <w:unhideWhenUsed/>
    <w:rsid w:val="00AB2657"/>
    <w:rPr>
      <w:color w:val="5B9BD5" w:themeColor="hyperlink"/>
      <w:u w:val="single"/>
    </w:rPr>
  </w:style>
  <w:style w:type="paragraph" w:styleId="ListParagraph">
    <w:name w:val="List Paragraph"/>
    <w:basedOn w:val="Normal"/>
    <w:uiPriority w:val="34"/>
    <w:qFormat/>
    <w:rsid w:val="00AB2657"/>
    <w:pPr>
      <w:ind w:left="720"/>
      <w:contextualSpacing/>
    </w:pPr>
  </w:style>
  <w:style w:type="character" w:styleId="Strong">
    <w:name w:val="Strong"/>
    <w:basedOn w:val="DefaultParagraphFont"/>
    <w:uiPriority w:val="22"/>
    <w:qFormat/>
    <w:rsid w:val="006D7938"/>
    <w:rPr>
      <w:b/>
      <w:bCs/>
    </w:rPr>
  </w:style>
  <w:style w:type="table" w:styleId="TableGrid">
    <w:name w:val="Table Grid"/>
    <w:basedOn w:val="TableNormal"/>
    <w:uiPriority w:val="39"/>
    <w:rsid w:val="007B473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405BA"/>
    <w:rPr>
      <w:color w:val="605E5C"/>
      <w:shd w:val="clear" w:color="auto" w:fill="E1DFDD"/>
    </w:rPr>
  </w:style>
  <w:style w:type="character" w:styleId="CommentReference">
    <w:name w:val="annotation reference"/>
    <w:basedOn w:val="DefaultParagraphFont"/>
    <w:uiPriority w:val="99"/>
    <w:semiHidden/>
    <w:unhideWhenUsed/>
    <w:rsid w:val="003E5C29"/>
    <w:rPr>
      <w:sz w:val="16"/>
      <w:szCs w:val="16"/>
    </w:rPr>
  </w:style>
  <w:style w:type="paragraph" w:styleId="CommentText">
    <w:name w:val="annotation text"/>
    <w:basedOn w:val="Normal"/>
    <w:link w:val="CommentTextChar"/>
    <w:uiPriority w:val="99"/>
    <w:unhideWhenUsed/>
    <w:rsid w:val="003E5C29"/>
    <w:pPr>
      <w:spacing w:line="240" w:lineRule="auto"/>
    </w:pPr>
    <w:rPr>
      <w:sz w:val="20"/>
      <w:szCs w:val="20"/>
    </w:rPr>
  </w:style>
  <w:style w:type="character" w:customStyle="1" w:styleId="CommentTextChar">
    <w:name w:val="Comment Text Char"/>
    <w:basedOn w:val="DefaultParagraphFont"/>
    <w:link w:val="CommentText"/>
    <w:uiPriority w:val="99"/>
    <w:rsid w:val="003E5C29"/>
    <w:rPr>
      <w:rFonts w:eastAsia="SimSun"/>
      <w:sz w:val="20"/>
      <w:szCs w:val="20"/>
      <w:lang w:val="en-AU" w:eastAsia="en-US"/>
    </w:rPr>
  </w:style>
  <w:style w:type="paragraph" w:styleId="CommentSubject">
    <w:name w:val="annotation subject"/>
    <w:basedOn w:val="CommentText"/>
    <w:next w:val="CommentText"/>
    <w:link w:val="CommentSubjectChar"/>
    <w:uiPriority w:val="99"/>
    <w:semiHidden/>
    <w:unhideWhenUsed/>
    <w:rsid w:val="003E5C29"/>
    <w:rPr>
      <w:b/>
      <w:bCs/>
    </w:rPr>
  </w:style>
  <w:style w:type="character" w:customStyle="1" w:styleId="CommentSubjectChar">
    <w:name w:val="Comment Subject Char"/>
    <w:basedOn w:val="CommentTextChar"/>
    <w:link w:val="CommentSubject"/>
    <w:uiPriority w:val="99"/>
    <w:semiHidden/>
    <w:rsid w:val="003E5C29"/>
    <w:rPr>
      <w:rFonts w:eastAsia="SimSun"/>
      <w:b/>
      <w:bCs/>
      <w:sz w:val="20"/>
      <w:szCs w:val="20"/>
      <w:lang w:val="en-AU" w:eastAsia="en-US"/>
    </w:rPr>
  </w:style>
  <w:style w:type="paragraph" w:styleId="BalloonText">
    <w:name w:val="Balloon Text"/>
    <w:basedOn w:val="Normal"/>
    <w:link w:val="BalloonTextChar"/>
    <w:uiPriority w:val="99"/>
    <w:semiHidden/>
    <w:unhideWhenUsed/>
    <w:rsid w:val="00AD55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5D4"/>
    <w:rPr>
      <w:rFonts w:ascii="Segoe UI" w:eastAsia="SimSun" w:hAnsi="Segoe UI" w:cs="Segoe UI"/>
      <w:sz w:val="18"/>
      <w:szCs w:val="18"/>
      <w:lang w:val="en-AU" w:eastAsia="en-US"/>
    </w:rPr>
  </w:style>
  <w:style w:type="paragraph" w:styleId="Revision">
    <w:name w:val="Revision"/>
    <w:hidden/>
    <w:uiPriority w:val="99"/>
    <w:semiHidden/>
    <w:rsid w:val="004A6C2B"/>
    <w:pPr>
      <w:spacing w:after="0"/>
    </w:pPr>
    <w:rPr>
      <w:rFonts w:eastAsia="SimSun"/>
      <w:lang w:val="en-AU" w:eastAsia="en-US"/>
    </w:rPr>
  </w:style>
  <w:style w:type="paragraph" w:styleId="NormalWeb">
    <w:name w:val="Normal (Web)"/>
    <w:basedOn w:val="Normal"/>
    <w:uiPriority w:val="99"/>
    <w:unhideWhenUsed/>
    <w:rsid w:val="00F6036E"/>
    <w:pPr>
      <w:spacing w:before="100" w:beforeAutospacing="1" w:after="100" w:afterAutospacing="1" w:line="240" w:lineRule="auto"/>
    </w:pPr>
    <w:rPr>
      <w:rFonts w:ascii="Times New Roman" w:eastAsia="Times New Roman"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6257513">
      <w:bodyDiv w:val="1"/>
      <w:marLeft w:val="0"/>
      <w:marRight w:val="0"/>
      <w:marTop w:val="0"/>
      <w:marBottom w:val="0"/>
      <w:divBdr>
        <w:top w:val="none" w:sz="0" w:space="0" w:color="auto"/>
        <w:left w:val="none" w:sz="0" w:space="0" w:color="auto"/>
        <w:bottom w:val="none" w:sz="0" w:space="0" w:color="auto"/>
        <w:right w:val="none" w:sz="0" w:space="0" w:color="auto"/>
      </w:divBdr>
    </w:div>
    <w:div w:id="882016143">
      <w:bodyDiv w:val="1"/>
      <w:marLeft w:val="0"/>
      <w:marRight w:val="0"/>
      <w:marTop w:val="0"/>
      <w:marBottom w:val="0"/>
      <w:divBdr>
        <w:top w:val="none" w:sz="0" w:space="0" w:color="auto"/>
        <w:left w:val="none" w:sz="0" w:space="0" w:color="auto"/>
        <w:bottom w:val="none" w:sz="0" w:space="0" w:color="auto"/>
        <w:right w:val="none" w:sz="0" w:space="0" w:color="auto"/>
      </w:divBdr>
    </w:div>
    <w:div w:id="1812474470">
      <w:bodyDiv w:val="1"/>
      <w:marLeft w:val="0"/>
      <w:marRight w:val="0"/>
      <w:marTop w:val="0"/>
      <w:marBottom w:val="0"/>
      <w:divBdr>
        <w:top w:val="none" w:sz="0" w:space="0" w:color="auto"/>
        <w:left w:val="none" w:sz="0" w:space="0" w:color="auto"/>
        <w:bottom w:val="none" w:sz="0" w:space="0" w:color="auto"/>
        <w:right w:val="none" w:sz="0" w:space="0" w:color="auto"/>
      </w:divBdr>
    </w:div>
    <w:div w:id="1951936239">
      <w:bodyDiv w:val="1"/>
      <w:marLeft w:val="0"/>
      <w:marRight w:val="0"/>
      <w:marTop w:val="0"/>
      <w:marBottom w:val="0"/>
      <w:divBdr>
        <w:top w:val="none" w:sz="0" w:space="0" w:color="auto"/>
        <w:left w:val="none" w:sz="0" w:space="0" w:color="auto"/>
        <w:bottom w:val="none" w:sz="0" w:space="0" w:color="auto"/>
        <w:right w:val="none" w:sz="0" w:space="0" w:color="auto"/>
      </w:divBdr>
    </w:div>
    <w:div w:id="19567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image" Target="media/image15.svg"/><Relationship Id="rId21" Type="http://schemas.openxmlformats.org/officeDocument/2006/relationships/image" Target="media/image10.png"/><Relationship Id="rId34" Type="http://schemas.openxmlformats.org/officeDocument/2006/relationships/image" Target="media/image19.svg"/><Relationship Id="rId7" Type="http://schemas.openxmlformats.org/officeDocument/2006/relationships/webSettings" Target="webSettings.xml"/><Relationship Id="rId12" Type="http://schemas.openxmlformats.org/officeDocument/2006/relationships/image" Target="media/image3.svg"/><Relationship Id="rId17" Type="http://schemas.openxmlformats.org/officeDocument/2006/relationships/hyperlink" Target="https://youtu.be/et4oqruNe0A" TargetMode="External"/><Relationship Id="rId25" Type="http://schemas.openxmlformats.org/officeDocument/2006/relationships/image" Target="media/image14.png"/><Relationship Id="rId33" Type="http://schemas.openxmlformats.org/officeDocument/2006/relationships/image" Target="media/image18.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svg"/><Relationship Id="rId20" Type="http://schemas.openxmlformats.org/officeDocument/2006/relationships/hyperlink" Target="https://youtu.be/uNj9dL9KHuI" TargetMode="External"/><Relationship Id="rId29" Type="http://schemas.openxmlformats.org/officeDocument/2006/relationships/hyperlink" Target="https://doi.org/10.1186/s12913-022-07699-8"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3.svg"/><Relationship Id="rId32" Type="http://schemas.openxmlformats.org/officeDocument/2006/relationships/hyperlink" Target="https://doi.org/10.1186/s13063-019-3661-4"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2.png"/><Relationship Id="rId28" Type="http://schemas.openxmlformats.org/officeDocument/2006/relationships/image" Target="media/image17.svg"/><Relationship Id="rId36"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9.svg"/><Relationship Id="rId31" Type="http://schemas.openxmlformats.org/officeDocument/2006/relationships/hyperlink" Target="https://doi.org/10.1186/s12913-021-06930-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svg"/><Relationship Id="rId22" Type="http://schemas.openxmlformats.org/officeDocument/2006/relationships/image" Target="media/image11.svg"/><Relationship Id="rId27" Type="http://schemas.openxmlformats.org/officeDocument/2006/relationships/image" Target="media/image16.png"/><Relationship Id="rId30" Type="http://schemas.openxmlformats.org/officeDocument/2006/relationships/hyperlink" Target="https://doi.org/10.1016/j.gheart.2019.06.003"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image" Target="media/image22.png"/><Relationship Id="rId2" Type="http://schemas.openxmlformats.org/officeDocument/2006/relationships/image" Target="media/image21.png"/><Relationship Id="rId1"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andurek\OneDrive%20-%20GACD%20Action\Documents\Custom%20Office%20Templates\GACD%20template%20-%20Word.dotx" TargetMode="External"/></Relationships>
</file>

<file path=word/theme/theme1.xml><?xml version="1.0" encoding="utf-8"?>
<a:theme xmlns:a="http://schemas.openxmlformats.org/drawingml/2006/main" name="Office Theme">
  <a:themeElements>
    <a:clrScheme name="GACD*">
      <a:dk1>
        <a:sysClr val="windowText" lastClr="000000"/>
      </a:dk1>
      <a:lt1>
        <a:sysClr val="window" lastClr="FFFFFF"/>
      </a:lt1>
      <a:dk2>
        <a:srgbClr val="44546A"/>
      </a:dk2>
      <a:lt2>
        <a:srgbClr val="E7E6E6"/>
      </a:lt2>
      <a:accent1>
        <a:srgbClr val="FF874F"/>
      </a:accent1>
      <a:accent2>
        <a:srgbClr val="36A18B"/>
      </a:accent2>
      <a:accent3>
        <a:srgbClr val="FCBF56"/>
      </a:accent3>
      <a:accent4>
        <a:srgbClr val="436EA7"/>
      </a:accent4>
      <a:accent5>
        <a:srgbClr val="F05890"/>
      </a:accent5>
      <a:accent6>
        <a:srgbClr val="73908F"/>
      </a:accent6>
      <a:hlink>
        <a:srgbClr val="5B9BD5"/>
      </a:hlink>
      <a:folHlink>
        <a:srgbClr val="8496B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3BDB5C2F2FB347BDB4C8DD8DD286A4" ma:contentTypeVersion="14" ma:contentTypeDescription="Create a new document." ma:contentTypeScope="" ma:versionID="3c6c7b3fada8cdd44608e6a760b178b8">
  <xsd:schema xmlns:xsd="http://www.w3.org/2001/XMLSchema" xmlns:xs="http://www.w3.org/2001/XMLSchema" xmlns:p="http://schemas.microsoft.com/office/2006/metadata/properties" xmlns:ns3="7d9e5d5a-edbd-4666-a4fe-8649a22e4736" xmlns:ns4="21a7241f-69b3-479e-aa5b-852d898a3cd8" targetNamespace="http://schemas.microsoft.com/office/2006/metadata/properties" ma:root="true" ma:fieldsID="c146e6f8f289c3731a608cc62e868427" ns3:_="" ns4:_="">
    <xsd:import namespace="7d9e5d5a-edbd-4666-a4fe-8649a22e4736"/>
    <xsd:import namespace="21a7241f-69b3-479e-aa5b-852d898a3c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9e5d5a-edbd-4666-a4fe-8649a22e47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a7241f-69b3-479e-aa5b-852d898a3cd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18EDE5-96F6-488B-B537-651DD4A384C2}">
  <ds:schemaRefs>
    <ds:schemaRef ds:uri="http://schemas.microsoft.com/sharepoint/v3/contenttype/forms"/>
  </ds:schemaRefs>
</ds:datastoreItem>
</file>

<file path=customXml/itemProps2.xml><?xml version="1.0" encoding="utf-8"?>
<ds:datastoreItem xmlns:ds="http://schemas.openxmlformats.org/officeDocument/2006/customXml" ds:itemID="{DF00D644-07C9-44E5-902F-34974DCA9E6F}">
  <ds:schemaRefs>
    <ds:schemaRef ds:uri="http://purl.org/dc/terms/"/>
    <ds:schemaRef ds:uri="http://purl.org/dc/elements/1.1/"/>
    <ds:schemaRef ds:uri="http://purl.org/dc/dcmitype/"/>
    <ds:schemaRef ds:uri="http://www.w3.org/XML/1998/namespace"/>
    <ds:schemaRef ds:uri="http://schemas.microsoft.com/office/infopath/2007/PartnerControls"/>
    <ds:schemaRef ds:uri="7d9e5d5a-edbd-4666-a4fe-8649a22e4736"/>
    <ds:schemaRef ds:uri="http://schemas.microsoft.com/office/2006/documentManagement/types"/>
    <ds:schemaRef ds:uri="http://schemas.openxmlformats.org/package/2006/metadata/core-properties"/>
    <ds:schemaRef ds:uri="21a7241f-69b3-479e-aa5b-852d898a3cd8"/>
    <ds:schemaRef ds:uri="http://schemas.microsoft.com/office/2006/metadata/properties"/>
  </ds:schemaRefs>
</ds:datastoreItem>
</file>

<file path=customXml/itemProps3.xml><?xml version="1.0" encoding="utf-8"?>
<ds:datastoreItem xmlns:ds="http://schemas.openxmlformats.org/officeDocument/2006/customXml" ds:itemID="{4AD2D1C3-AEA2-439D-8F51-DF4B7E097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9e5d5a-edbd-4666-a4fe-8649a22e4736"/>
    <ds:schemaRef ds:uri="21a7241f-69b3-479e-aa5b-852d898a3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GACD template - Word</Template>
  <TotalTime>5</TotalTime>
  <Pages>4</Pages>
  <Words>988</Words>
  <Characters>5636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Izzy Bandurek</dc:creator>
  <cp:keywords/>
  <dc:description/>
  <cp:lastModifiedBy>Kevin</cp:lastModifiedBy>
  <cp:revision>10</cp:revision>
  <cp:lastPrinted>2024-11-04T12:13:00Z</cp:lastPrinted>
  <dcterms:created xsi:type="dcterms:W3CDTF">2024-01-23T08:49:00Z</dcterms:created>
  <dcterms:modified xsi:type="dcterms:W3CDTF">2024-11-04T12:13:00Z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0x0101008E3BDB5C2F2FB347BDB4C8DD8DD286A4</vt:lpwstr>
  </property>
</Properties>
</file>