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3A72" w14:textId="77777777" w:rsidR="003C6952" w:rsidRPr="00C45933" w:rsidRDefault="003C6952" w:rsidP="003C6952">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28A70962" w:rsidR="003C6952" w:rsidRPr="00F42EC1" w:rsidRDefault="00F563E4" w:rsidP="000313BF">
            <w:pPr>
              <w:spacing w:after="0"/>
              <w:jc w:val="center"/>
              <w:rPr>
                <w:b/>
                <w:bCs/>
                <w:color w:val="FFFFFF" w:themeColor="background1"/>
                <w:sz w:val="56"/>
                <w:szCs w:val="56"/>
              </w:rPr>
            </w:pPr>
            <w:r w:rsidRPr="00F563E4">
              <w:rPr>
                <w:b/>
                <w:bCs/>
                <w:color w:val="FFFFFF" w:themeColor="background1"/>
                <w:sz w:val="56"/>
                <w:szCs w:val="56"/>
              </w:rPr>
              <w:t>Knowledge synthesis on plain packaging to assess existing evidence to promote the selection of evidence-based policies and interventions for implementation in India</w:t>
            </w:r>
          </w:p>
        </w:tc>
      </w:tr>
    </w:tbl>
    <w:p w14:paraId="06474FFA"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4822E8A7" w:rsidR="003C6952" w:rsidRPr="000313BF" w:rsidRDefault="00F563E4" w:rsidP="00794DF4">
            <w:pPr>
              <w:spacing w:after="0"/>
              <w:jc w:val="center"/>
              <w:rPr>
                <w:i/>
                <w:iCs/>
                <w:sz w:val="20"/>
                <w:szCs w:val="20"/>
              </w:rPr>
            </w:pPr>
            <w:r>
              <w:rPr>
                <w:i/>
                <w:iCs/>
                <w:sz w:val="20"/>
                <w:szCs w:val="20"/>
              </w:rPr>
              <w:t xml:space="preserve">A </w:t>
            </w:r>
            <w:r w:rsidRPr="00F563E4">
              <w:rPr>
                <w:i/>
                <w:iCs/>
                <w:sz w:val="20"/>
                <w:szCs w:val="20"/>
              </w:rPr>
              <w:t>comprehensive knowledge synthesis report on the possibility of plain packaging in Indi</w:t>
            </w:r>
            <w:r>
              <w:rPr>
                <w:i/>
                <w:iCs/>
                <w:sz w:val="20"/>
                <w:szCs w:val="20"/>
              </w:rPr>
              <w:t>a</w:t>
            </w:r>
          </w:p>
        </w:tc>
      </w:tr>
    </w:tbl>
    <w:p w14:paraId="2ECCD665"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1228B182" w:rsidR="003C6952" w:rsidRPr="000313BF" w:rsidRDefault="00F563E4" w:rsidP="000313BF">
            <w:pPr>
              <w:shd w:val="clear" w:color="auto" w:fill="E2E8E8" w:themeFill="accent6" w:themeFillTint="33"/>
              <w:spacing w:after="0"/>
              <w:jc w:val="center"/>
              <w:rPr>
                <w:i/>
                <w:iCs/>
                <w:sz w:val="20"/>
                <w:szCs w:val="20"/>
              </w:rPr>
            </w:pPr>
            <w:r w:rsidRPr="00F563E4">
              <w:rPr>
                <w:i/>
                <w:iCs/>
                <w:sz w:val="20"/>
                <w:szCs w:val="20"/>
              </w:rPr>
              <w:t>Nossal Institute for Global Health, The University of Melbourne, Melbourne, Australia</w:t>
            </w:r>
          </w:p>
        </w:tc>
      </w:tr>
    </w:tbl>
    <w:p w14:paraId="4160B318" w14:textId="77777777" w:rsidR="003C6952" w:rsidRPr="00650EAE" w:rsidRDefault="003C6952" w:rsidP="003C6952">
      <w:pPr>
        <w:jc w:val="center"/>
        <w:rPr>
          <w:sz w:val="20"/>
          <w:szCs w:val="20"/>
        </w:rPr>
      </w:pPr>
    </w:p>
    <w:p w14:paraId="74BB3237" w14:textId="77777777" w:rsidR="006711C1" w:rsidRDefault="006711C1" w:rsidP="006711C1">
      <w:pPr>
        <w:pStyle w:val="Heading2"/>
      </w:pPr>
      <w:r>
        <w:t>Case study summary</w:t>
      </w:r>
    </w:p>
    <w:p w14:paraId="1E5FF22C" w14:textId="5F893A94" w:rsidR="00F563E4" w:rsidRPr="00F563E4" w:rsidRDefault="00F563E4" w:rsidP="00F563E4">
      <w:r>
        <w:rPr>
          <w:rFonts w:ascii="Segoe UI" w:hAnsi="Segoe UI" w:cs="Segoe UI"/>
          <w:color w:val="0D0D0D"/>
          <w:shd w:val="clear" w:color="auto" w:fill="FFFFFF"/>
        </w:rPr>
        <w:t xml:space="preserve">This case study outlines the process of synthesising knowledge on tobacco plain packaging policies for implementation in India, emphasising the importance of </w:t>
      </w:r>
      <w:hyperlink r:id="rId10" w:history="1">
        <w:r w:rsidRPr="001E3749">
          <w:rPr>
            <w:rStyle w:val="Hyperlink"/>
            <w:rFonts w:ascii="Segoe UI" w:hAnsi="Segoe UI" w:cs="Segoe UI"/>
            <w:shd w:val="clear" w:color="auto" w:fill="FFFFFF"/>
          </w:rPr>
          <w:t>local context</w:t>
        </w:r>
      </w:hyperlink>
      <w:r>
        <w:rPr>
          <w:rFonts w:ascii="Segoe UI" w:hAnsi="Segoe UI" w:cs="Segoe UI"/>
          <w:color w:val="0D0D0D"/>
          <w:shd w:val="clear" w:color="auto" w:fill="FFFFFF"/>
        </w:rPr>
        <w:t xml:space="preserve"> in adopting evidence-based policies and interventions.</w:t>
      </w:r>
    </w:p>
    <w:p w14:paraId="52B1A95E" w14:textId="59BEF315" w:rsidR="00F563E4" w:rsidRDefault="00AB5B73" w:rsidP="00A704A2">
      <w:pPr>
        <w:pStyle w:val="Heading2"/>
      </w:pPr>
      <w:r>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Identification and characterisation of implementation issues</w:t>
      </w:r>
    </w:p>
    <w:p w14:paraId="283AB6F3" w14:textId="760C9ED4" w:rsidR="00F563E4" w:rsidRPr="00F563E4" w:rsidRDefault="00F563E4" w:rsidP="00F563E4">
      <w:r>
        <w:rPr>
          <w:rFonts w:ascii="Segoe UI" w:hAnsi="Segoe UI" w:cs="Segoe UI"/>
          <w:color w:val="0D0D0D"/>
          <w:shd w:val="clear" w:color="auto" w:fill="FFFFFF"/>
        </w:rPr>
        <w:t>With India being the world’s second-largest consumer of tobacco, the high prevalence of tobacco use presents significant challenges. The 2003 COTPA act made some inroads but was not sufficiently impactful, leading to considerations of plain packaging as a more effective intervention.</w:t>
      </w:r>
    </w:p>
    <w:p w14:paraId="3FBFCBE0" w14:textId="50186398" w:rsidR="006711C1" w:rsidRDefault="00A704A2" w:rsidP="00A704A2">
      <w:pPr>
        <w:pStyle w:val="Heading2"/>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Selection, adaptation, and application of implementation strategies</w:t>
      </w:r>
    </w:p>
    <w:p w14:paraId="79C40DC0" w14:textId="7EFAC71C" w:rsidR="00F563E4" w:rsidRPr="00F563E4" w:rsidRDefault="00F563E4" w:rsidP="00F563E4">
      <w:r>
        <w:rPr>
          <w:rFonts w:ascii="Segoe UI" w:hAnsi="Segoe UI" w:cs="Segoe UI"/>
          <w:color w:val="0D0D0D"/>
          <w:shd w:val="clear" w:color="auto" w:fill="FFFFFF"/>
        </w:rPr>
        <w:t>The proposed plain packaging policy, removing all branding from tobacco products, is based on significant evidence, especially from Australia. However, adapting this to India's context, including its diverse tobacco products, necessitates localised evidence and strategies.</w:t>
      </w:r>
    </w:p>
    <w:p w14:paraId="559626E2" w14:textId="6AAB1A45" w:rsidR="006711C1" w:rsidRDefault="0045701E" w:rsidP="006711C1">
      <w:pPr>
        <w:pStyle w:val="Heading2"/>
      </w:pPr>
      <w:r w:rsidRPr="002A30D9">
        <w:rPr>
          <w:b w:val="0"/>
          <w:bCs/>
          <w:noProof/>
        </w:rPr>
        <w:drawing>
          <wp:anchor distT="0" distB="0" distL="114300" distR="114300" simplePos="0" relativeHeight="251664384" behindDoc="0" locked="0" layoutInCell="1" allowOverlap="1" wp14:anchorId="79ABE303" wp14:editId="7307182F">
            <wp:simplePos x="0" y="0"/>
            <wp:positionH relativeFrom="margin">
              <wp:posOffset>-106680</wp:posOffset>
            </wp:positionH>
            <wp:positionV relativeFrom="paragraph">
              <wp:posOffset>14605</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Development and delivery of the s</w:t>
      </w:r>
      <w:r w:rsidR="006711C1">
        <w:t>takeholder engagement strategy</w:t>
      </w:r>
    </w:p>
    <w:p w14:paraId="4CFAE532" w14:textId="57C36F99" w:rsidR="00F563E4" w:rsidRPr="00F563E4" w:rsidRDefault="00F563E4" w:rsidP="00F563E4">
      <w:r>
        <w:rPr>
          <w:rFonts w:ascii="Segoe UI" w:hAnsi="Segoe UI" w:cs="Segoe UI"/>
          <w:color w:val="0D0D0D"/>
          <w:shd w:val="clear" w:color="auto" w:fill="FFFFFF"/>
        </w:rPr>
        <w:t>An Indo-Australian taskforce, supported by a grant, undertook a comprehensive knowledge synthesis project, leading to a report advocating for plain packaging in India, based on evidence from other jurisdictions and local market research.</w:t>
      </w:r>
    </w:p>
    <w:p w14:paraId="4BA303FF" w14:textId="581505B2" w:rsidR="006711C1" w:rsidRDefault="00AB5B73" w:rsidP="00AB5B73">
      <w:pPr>
        <w:pStyle w:val="Heading2"/>
      </w:pPr>
      <w:r w:rsidRPr="00AB5B73">
        <w:rPr>
          <w:rFonts w:eastAsia="Calibri"/>
          <w:noProof/>
          <w:lang w:eastAsia="zh-CN"/>
        </w:rPr>
        <w:lastRenderedPageBreak/>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Evaluati</w:t>
      </w:r>
      <w:r w:rsidR="00550D15">
        <w:t>ng implementation</w:t>
      </w:r>
    </w:p>
    <w:p w14:paraId="1A74CE3E" w14:textId="3A4810DC" w:rsidR="00F563E4" w:rsidRPr="00F563E4" w:rsidRDefault="00F563E4" w:rsidP="00F563E4">
      <w:r>
        <w:rPr>
          <w:rFonts w:ascii="Segoe UI" w:hAnsi="Segoe UI" w:cs="Segoe UI"/>
          <w:color w:val="0D0D0D"/>
          <w:shd w:val="clear" w:color="auto" w:fill="FFFFFF"/>
        </w:rPr>
        <w:t>The report's launch and subsequent legislative proposals underscored the potential for policy change. However, progress has been slowed by various contextual barriers, including political changes and opposition from the tobacco industry.</w:t>
      </w:r>
    </w:p>
    <w:p w14:paraId="00D13D9C" w14:textId="77777777" w:rsidR="00F563E4" w:rsidRDefault="00A704A2" w:rsidP="00F563E4">
      <w:pPr>
        <w:pStyle w:val="Heading2"/>
      </w:pPr>
      <w:r>
        <w:rPr>
          <w:noProof/>
        </w:rPr>
        <w:drawing>
          <wp:anchor distT="0" distB="0" distL="114300" distR="114300" simplePos="0" relativeHeight="251668480" behindDoc="0" locked="0" layoutInCell="1" allowOverlap="1" wp14:anchorId="27E9EC86" wp14:editId="1E7AA065">
            <wp:simplePos x="0" y="0"/>
            <wp:positionH relativeFrom="margin">
              <wp:align>left</wp:align>
            </wp:positionH>
            <wp:positionV relativeFrom="paragraph">
              <wp:posOffset>6985</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40C935E8" w14:textId="140F3530" w:rsidR="00F563E4" w:rsidRPr="00F563E4" w:rsidRDefault="00F563E4" w:rsidP="00F563E4">
      <w:r>
        <w:rPr>
          <w:rFonts w:ascii="Segoe UI" w:hAnsi="Segoe UI" w:cs="Segoe UI"/>
          <w:color w:val="0D0D0D"/>
          <w:shd w:val="clear" w:color="auto" w:fill="FFFFFF"/>
        </w:rPr>
        <w:t>The study highlights the challenges of implementing public health policies in diverse settings, particularly the need for local evidence and the importance of considering the local context alongside international expertise.</w:t>
      </w:r>
    </w:p>
    <w:p w14:paraId="51D891C0" w14:textId="7851A581" w:rsidR="00F563E4" w:rsidRDefault="00F563E4" w:rsidP="0045701E">
      <w:pPr>
        <w:pStyle w:val="Heading2"/>
      </w:pPr>
      <w:r>
        <w:rPr>
          <w:noProof/>
        </w:rPr>
        <w:drawing>
          <wp:anchor distT="0" distB="0" distL="114300" distR="114300" simplePos="0" relativeHeight="251670528" behindDoc="0" locked="0" layoutInCell="1" allowOverlap="1" wp14:anchorId="6FA1A198" wp14:editId="14533334">
            <wp:simplePos x="0" y="0"/>
            <wp:positionH relativeFrom="column">
              <wp:posOffset>-22860</wp:posOffset>
            </wp:positionH>
            <wp:positionV relativeFrom="paragraph">
              <wp:posOffset>9525</wp:posOffset>
            </wp:positionV>
            <wp:extent cx="287655" cy="287655"/>
            <wp:effectExtent l="0" t="0" r="0" b="0"/>
            <wp:wrapSquare wrapText="bothSides"/>
            <wp:docPr id="18" name="Graphic 18"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lipboard Mixed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Strengths and limitation</w:t>
      </w:r>
      <w:r>
        <w:t>s</w:t>
      </w:r>
    </w:p>
    <w:p w14:paraId="06BFAE61" w14:textId="71B999E4" w:rsidR="00F563E4" w:rsidRPr="00F563E4" w:rsidRDefault="00F563E4" w:rsidP="00F563E4">
      <w:r>
        <w:rPr>
          <w:rFonts w:ascii="Segoe UI" w:hAnsi="Segoe UI" w:cs="Segoe UI"/>
          <w:color w:val="0D0D0D"/>
          <w:shd w:val="clear" w:color="auto" w:fill="FFFFFF"/>
        </w:rPr>
        <w:t>The case study's strengths lie in its comprehensive approach and stakeholder engagement. Limitations are primarily due to contextual barriers such as political opposition and the tobacco industry's resistance.</w:t>
      </w:r>
    </w:p>
    <w:p w14:paraId="199BC6E3" w14:textId="641E9EC6" w:rsidR="006711C1" w:rsidRDefault="00F563E4" w:rsidP="006711C1">
      <w:pPr>
        <w:pStyle w:val="Heading2"/>
      </w:pPr>
      <w:r w:rsidRPr="0045701E">
        <w:rPr>
          <w:rFonts w:ascii="Segoe UI" w:eastAsia="SimSun" w:hAnsi="Segoe UI" w:cs="Segoe UI"/>
          <w:b w:val="0"/>
          <w:noProof/>
          <w:color w:val="0D0D0D"/>
          <w:sz w:val="22"/>
          <w:szCs w:val="22"/>
          <w:shd w:val="clear" w:color="auto" w:fill="FFFFFF"/>
        </w:rPr>
        <w:drawing>
          <wp:anchor distT="0" distB="0" distL="114300" distR="114300" simplePos="0" relativeHeight="251672576" behindDoc="0" locked="0" layoutInCell="1" allowOverlap="1" wp14:anchorId="7D8568FC" wp14:editId="4FAA3496">
            <wp:simplePos x="0" y="0"/>
            <wp:positionH relativeFrom="margin">
              <wp:posOffset>-30480</wp:posOffset>
            </wp:positionH>
            <wp:positionV relativeFrom="paragraph">
              <wp:posOffset>5080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24DC7662" w14:textId="243C2A70" w:rsidR="0045701E" w:rsidRPr="0045701E" w:rsidRDefault="00F563E4" w:rsidP="0045701E">
      <w:r>
        <w:rPr>
          <w:rFonts w:ascii="Segoe UI" w:hAnsi="Segoe UI" w:cs="Segoe UI"/>
          <w:color w:val="0D0D0D"/>
          <w:shd w:val="clear" w:color="auto" w:fill="FFFFFF"/>
        </w:rPr>
        <w:t xml:space="preserve">Key to the study's initial success were the strategic </w:t>
      </w:r>
      <w:hyperlink r:id="rId25" w:history="1">
        <w:r w:rsidRPr="001E3749">
          <w:rPr>
            <w:rStyle w:val="Hyperlink"/>
            <w:rFonts w:ascii="Segoe UI" w:hAnsi="Segoe UI" w:cs="Segoe UI"/>
            <w:shd w:val="clear" w:color="auto" w:fill="FFFFFF"/>
          </w:rPr>
          <w:t>engagement of stakeholders</w:t>
        </w:r>
      </w:hyperlink>
      <w:r>
        <w:rPr>
          <w:rFonts w:ascii="Segoe UI" w:hAnsi="Segoe UI" w:cs="Segoe UI"/>
          <w:color w:val="0D0D0D"/>
          <w:shd w:val="clear" w:color="auto" w:fill="FFFFFF"/>
        </w:rPr>
        <w:t xml:space="preserve"> and the involvement of credible figures. The main challenges include the demand for local evidence and navigating the political and industrial landscape.</w:t>
      </w:r>
    </w:p>
    <w:p w14:paraId="183111A5" w14:textId="77777777" w:rsidR="00F563E4" w:rsidRDefault="00A704A2" w:rsidP="002F3171">
      <w:pPr>
        <w:pStyle w:val="Heading2"/>
      </w:pPr>
      <w:r>
        <w:rPr>
          <w:noProof/>
        </w:rPr>
        <w:drawing>
          <wp:anchor distT="0" distB="0" distL="114300" distR="114300" simplePos="0" relativeHeight="251674624" behindDoc="0" locked="0" layoutInCell="1" allowOverlap="1" wp14:anchorId="79E9FDC5" wp14:editId="616272CA">
            <wp:simplePos x="0" y="0"/>
            <wp:positionH relativeFrom="margin">
              <wp:align>left</wp:align>
            </wp:positionH>
            <wp:positionV relativeFrom="paragraph">
              <wp:posOffset>6350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6A3FA664" w14:textId="06C9D33D" w:rsidR="00F563E4" w:rsidRPr="00F563E4" w:rsidRDefault="00F563E4" w:rsidP="00F563E4">
      <w:r>
        <w:rPr>
          <w:rFonts w:ascii="Segoe UI" w:hAnsi="Segoe UI" w:cs="Segoe UI"/>
          <w:color w:val="0D0D0D"/>
          <w:shd w:val="clear" w:color="auto" w:fill="FFFFFF"/>
        </w:rPr>
        <w:t>Future directions include conducting further research to gather local evidence, aiming to strengthen the argument for plain packaging and facilitate its adoption in India.</w:t>
      </w:r>
    </w:p>
    <w:p w14:paraId="2B7B54B8" w14:textId="695FB85F" w:rsidR="002F3171" w:rsidRDefault="002F3171" w:rsidP="002F3171">
      <w:pPr>
        <w:pStyle w:val="Heading2"/>
      </w:pPr>
      <w:r>
        <w:t>References</w:t>
      </w:r>
    </w:p>
    <w:p w14:paraId="272DF70B"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World Health Organization, </w:t>
      </w:r>
      <w:r w:rsidRPr="00F563E4">
        <w:rPr>
          <w:rFonts w:ascii="Segoe UI" w:hAnsi="Segoe UI" w:cs="Segoe UI"/>
          <w:i/>
          <w:iCs/>
          <w:color w:val="0D0D0D"/>
          <w:shd w:val="clear" w:color="auto" w:fill="FFFFFF"/>
        </w:rPr>
        <w:t>WHO global report: mortality attributable to tobacco</w:t>
      </w:r>
      <w:r w:rsidRPr="00F563E4">
        <w:rPr>
          <w:rFonts w:ascii="Segoe UI" w:hAnsi="Segoe UI" w:cs="Segoe UI"/>
          <w:color w:val="0D0D0D"/>
          <w:shd w:val="clear" w:color="auto" w:fill="FFFFFF"/>
        </w:rPr>
        <w:t>, W. Press, Editor. 2012: Geneva.</w:t>
      </w:r>
    </w:p>
    <w:p w14:paraId="296B1A78"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proofErr w:type="spellStart"/>
      <w:r w:rsidRPr="00F563E4">
        <w:rPr>
          <w:rFonts w:ascii="Segoe UI" w:hAnsi="Segoe UI" w:cs="Segoe UI"/>
          <w:color w:val="0D0D0D"/>
          <w:shd w:val="clear" w:color="auto" w:fill="FFFFFF"/>
        </w:rPr>
        <w:t>Jhanjee</w:t>
      </w:r>
      <w:proofErr w:type="spellEnd"/>
      <w:r w:rsidRPr="00F563E4">
        <w:rPr>
          <w:rFonts w:ascii="Segoe UI" w:hAnsi="Segoe UI" w:cs="Segoe UI"/>
          <w:color w:val="0D0D0D"/>
          <w:shd w:val="clear" w:color="auto" w:fill="FFFFFF"/>
        </w:rPr>
        <w:t>, S., </w:t>
      </w:r>
      <w:r w:rsidRPr="00F563E4">
        <w:rPr>
          <w:rFonts w:ascii="Segoe UI" w:hAnsi="Segoe UI" w:cs="Segoe UI"/>
          <w:i/>
          <w:iCs/>
          <w:color w:val="0D0D0D"/>
          <w:shd w:val="clear" w:color="auto" w:fill="FFFFFF"/>
        </w:rPr>
        <w:t>Tobacco Control in India – Where are we now? </w:t>
      </w:r>
      <w:r w:rsidRPr="00F563E4">
        <w:rPr>
          <w:rFonts w:ascii="Segoe UI" w:hAnsi="Segoe UI" w:cs="Segoe UI"/>
          <w:color w:val="0D0D0D"/>
          <w:shd w:val="clear" w:color="auto" w:fill="FFFFFF"/>
        </w:rPr>
        <w:t>Delhi Psychiatry Journal, 2011. 14</w:t>
      </w:r>
      <w:r w:rsidRPr="00F563E4">
        <w:rPr>
          <w:rFonts w:ascii="Segoe UI" w:hAnsi="Segoe UI" w:cs="Segoe UI"/>
          <w:i/>
          <w:iCs/>
          <w:color w:val="0D0D0D"/>
          <w:shd w:val="clear" w:color="auto" w:fill="FFFFFF"/>
        </w:rPr>
        <w:t>(1)</w:t>
      </w:r>
      <w:r w:rsidRPr="00F563E4">
        <w:rPr>
          <w:rFonts w:ascii="Segoe UI" w:hAnsi="Segoe UI" w:cs="Segoe UI"/>
          <w:color w:val="0D0D0D"/>
          <w:shd w:val="clear" w:color="auto" w:fill="FFFFFF"/>
        </w:rPr>
        <w:t>: p. 26.</w:t>
      </w:r>
    </w:p>
    <w:p w14:paraId="0CE32D49"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Ministry of Health and Family Welfare India, </w:t>
      </w:r>
      <w:r w:rsidRPr="00F563E4">
        <w:rPr>
          <w:rFonts w:ascii="Segoe UI" w:hAnsi="Segoe UI" w:cs="Segoe UI"/>
          <w:i/>
          <w:iCs/>
          <w:color w:val="0D0D0D"/>
          <w:shd w:val="clear" w:color="auto" w:fill="FFFFFF"/>
        </w:rPr>
        <w:t>Tobacco use among students and teachers. Findings from the Global Youth Tobacco Survey and Global School Personnel Survey India</w:t>
      </w:r>
      <w:r w:rsidRPr="00F563E4">
        <w:rPr>
          <w:rFonts w:ascii="Segoe UI" w:hAnsi="Segoe UI" w:cs="Segoe UI"/>
          <w:color w:val="0D0D0D"/>
          <w:shd w:val="clear" w:color="auto" w:fill="FFFFFF"/>
        </w:rPr>
        <w:t>. 2010: New Delhi.</w:t>
      </w:r>
    </w:p>
    <w:p w14:paraId="024D0C23"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 xml:space="preserve">International Institute for Population Sciences &amp; </w:t>
      </w:r>
      <w:proofErr w:type="spellStart"/>
      <w:r w:rsidRPr="00F563E4">
        <w:rPr>
          <w:rFonts w:ascii="Segoe UI" w:hAnsi="Segoe UI" w:cs="Segoe UI"/>
          <w:color w:val="0D0D0D"/>
          <w:shd w:val="clear" w:color="auto" w:fill="FFFFFF"/>
        </w:rPr>
        <w:t>MoHFW</w:t>
      </w:r>
      <w:proofErr w:type="spellEnd"/>
      <w:r w:rsidRPr="00F563E4">
        <w:rPr>
          <w:rFonts w:ascii="Segoe UI" w:hAnsi="Segoe UI" w:cs="Segoe UI"/>
          <w:color w:val="0D0D0D"/>
          <w:shd w:val="clear" w:color="auto" w:fill="FFFFFF"/>
        </w:rPr>
        <w:t xml:space="preserve"> India, </w:t>
      </w:r>
      <w:r w:rsidRPr="00F563E4">
        <w:rPr>
          <w:rFonts w:ascii="Segoe UI" w:hAnsi="Segoe UI" w:cs="Segoe UI"/>
          <w:i/>
          <w:iCs/>
          <w:color w:val="0D0D0D"/>
          <w:shd w:val="clear" w:color="auto" w:fill="FFFFFF"/>
        </w:rPr>
        <w:t>Global Adult Tobacco Survey (GATS) India 2009-2010</w:t>
      </w:r>
      <w:r w:rsidRPr="00F563E4">
        <w:rPr>
          <w:rFonts w:ascii="Segoe UI" w:hAnsi="Segoe UI" w:cs="Segoe UI"/>
          <w:color w:val="0D0D0D"/>
          <w:shd w:val="clear" w:color="auto" w:fill="FFFFFF"/>
        </w:rPr>
        <w:t>. New Delhi.</w:t>
      </w:r>
    </w:p>
    <w:p w14:paraId="60D73A2F"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ITC Project, </w:t>
      </w:r>
      <w:r w:rsidRPr="00F563E4">
        <w:rPr>
          <w:rFonts w:ascii="Segoe UI" w:hAnsi="Segoe UI" w:cs="Segoe UI"/>
          <w:i/>
          <w:iCs/>
          <w:color w:val="0D0D0D"/>
          <w:shd w:val="clear" w:color="auto" w:fill="FFFFFF"/>
        </w:rPr>
        <w:t>TCP India National Report. Findings from the Wave 1 Survey (2010-2011)</w:t>
      </w:r>
      <w:r w:rsidRPr="00F563E4">
        <w:rPr>
          <w:rFonts w:ascii="Segoe UI" w:hAnsi="Segoe UI" w:cs="Segoe UI"/>
          <w:color w:val="0D0D0D"/>
          <w:shd w:val="clear" w:color="auto" w:fill="FFFFFF"/>
        </w:rPr>
        <w:t>. 2013, University of Waterloo, Canada; Healis-</w:t>
      </w:r>
      <w:proofErr w:type="spellStart"/>
      <w:r w:rsidRPr="00F563E4">
        <w:rPr>
          <w:rFonts w:ascii="Segoe UI" w:hAnsi="Segoe UI" w:cs="Segoe UI"/>
          <w:color w:val="0D0D0D"/>
          <w:shd w:val="clear" w:color="auto" w:fill="FFFFFF"/>
        </w:rPr>
        <w:t>Sekhsaria</w:t>
      </w:r>
      <w:proofErr w:type="spellEnd"/>
      <w:r w:rsidRPr="00F563E4">
        <w:rPr>
          <w:rFonts w:ascii="Segoe UI" w:hAnsi="Segoe UI" w:cs="Segoe UI"/>
          <w:color w:val="0D0D0D"/>
          <w:shd w:val="clear" w:color="auto" w:fill="FFFFFF"/>
        </w:rPr>
        <w:t xml:space="preserve"> Institute for Public Health, India.</w:t>
      </w:r>
    </w:p>
    <w:p w14:paraId="3BE00201"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Ministry of Health and Family Welfare (Government of India), </w:t>
      </w:r>
      <w:r w:rsidRPr="00F563E4">
        <w:rPr>
          <w:rFonts w:ascii="Segoe UI" w:hAnsi="Segoe UI" w:cs="Segoe UI"/>
          <w:i/>
          <w:iCs/>
          <w:color w:val="0D0D0D"/>
          <w:shd w:val="clear" w:color="auto" w:fill="FFFFFF"/>
        </w:rPr>
        <w:t>Economic Burden of Tobacco Related Diseases in India. Executive Summary</w:t>
      </w:r>
      <w:r w:rsidRPr="00F563E4">
        <w:rPr>
          <w:rFonts w:ascii="Segoe UI" w:hAnsi="Segoe UI" w:cs="Segoe UI"/>
          <w:color w:val="0D0D0D"/>
          <w:shd w:val="clear" w:color="auto" w:fill="FFFFFF"/>
        </w:rPr>
        <w:t>. 2014, New Delhi: PHFI and WHO Country Office for India.</w:t>
      </w:r>
    </w:p>
    <w:p w14:paraId="1BB9C48C"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World Health Organization, </w:t>
      </w:r>
      <w:r w:rsidRPr="00F563E4">
        <w:rPr>
          <w:rFonts w:ascii="Segoe UI" w:hAnsi="Segoe UI" w:cs="Segoe UI"/>
          <w:i/>
          <w:iCs/>
          <w:color w:val="0D0D0D"/>
          <w:shd w:val="clear" w:color="auto" w:fill="FFFFFF"/>
        </w:rPr>
        <w:t>WHO Framework Convention on Tobacco Control</w:t>
      </w:r>
      <w:r w:rsidRPr="00F563E4">
        <w:rPr>
          <w:rFonts w:ascii="Segoe UI" w:hAnsi="Segoe UI" w:cs="Segoe UI"/>
          <w:color w:val="0D0D0D"/>
          <w:shd w:val="clear" w:color="auto" w:fill="FFFFFF"/>
        </w:rPr>
        <w:t>. 2003: Geneva.</w:t>
      </w:r>
    </w:p>
    <w:p w14:paraId="40B5DCB7"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lastRenderedPageBreak/>
        <w:t>Ministry of Health and Family Welfare India, </w:t>
      </w:r>
      <w:r w:rsidRPr="00F563E4">
        <w:rPr>
          <w:rFonts w:ascii="Segoe UI" w:hAnsi="Segoe UI" w:cs="Segoe UI"/>
          <w:i/>
          <w:iCs/>
          <w:color w:val="0D0D0D"/>
          <w:shd w:val="clear" w:color="auto" w:fill="FFFFFF"/>
        </w:rPr>
        <w:t>The Cigarettes and Other Tobacco Products (Prohibition of Advertisement and Regulation of Trade and Commerce, Production, Supply and Distribution) Act, 2003</w:t>
      </w:r>
      <w:r w:rsidRPr="00F563E4">
        <w:rPr>
          <w:rFonts w:ascii="Segoe UI" w:hAnsi="Segoe UI" w:cs="Segoe UI"/>
          <w:color w:val="0D0D0D"/>
          <w:shd w:val="clear" w:color="auto" w:fill="FFFFFF"/>
        </w:rPr>
        <w:t>. 2009: New Delhi.</w:t>
      </w:r>
    </w:p>
    <w:p w14:paraId="1BE1389E"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 xml:space="preserve">Arora, M., Tewari A, Nazar PN, Gupta K, Shrivastav </w:t>
      </w:r>
      <w:proofErr w:type="gramStart"/>
      <w:r w:rsidRPr="00F563E4">
        <w:rPr>
          <w:rFonts w:ascii="Segoe UI" w:hAnsi="Segoe UI" w:cs="Segoe UI"/>
          <w:color w:val="0D0D0D"/>
          <w:shd w:val="clear" w:color="auto" w:fill="FFFFFF"/>
        </w:rPr>
        <w:t>R,,</w:t>
      </w:r>
      <w:proofErr w:type="gramEnd"/>
      <w:r w:rsidRPr="00F563E4">
        <w:rPr>
          <w:rFonts w:ascii="Segoe UI" w:hAnsi="Segoe UI" w:cs="Segoe UI"/>
          <w:color w:val="0D0D0D"/>
          <w:shd w:val="clear" w:color="auto" w:fill="FFFFFF"/>
        </w:rPr>
        <w:t> </w:t>
      </w:r>
      <w:r w:rsidRPr="00F563E4">
        <w:rPr>
          <w:rFonts w:ascii="Segoe UI" w:hAnsi="Segoe UI" w:cs="Segoe UI"/>
          <w:i/>
          <w:iCs/>
          <w:color w:val="0D0D0D"/>
          <w:shd w:val="clear" w:color="auto" w:fill="FFFFFF"/>
        </w:rPr>
        <w:t>Ineffective pictorial health warnings on tobacco products: lessons learnt from India. </w:t>
      </w:r>
      <w:r w:rsidRPr="00F563E4">
        <w:rPr>
          <w:rFonts w:ascii="Segoe UI" w:hAnsi="Segoe UI" w:cs="Segoe UI"/>
          <w:color w:val="0D0D0D"/>
          <w:shd w:val="clear" w:color="auto" w:fill="FFFFFF"/>
        </w:rPr>
        <w:t>Indian Journal of Public Health, 2012. 56</w:t>
      </w:r>
      <w:r w:rsidRPr="00F563E4">
        <w:rPr>
          <w:rFonts w:ascii="Segoe UI" w:hAnsi="Segoe UI" w:cs="Segoe UI"/>
          <w:i/>
          <w:iCs/>
          <w:color w:val="0D0D0D"/>
          <w:shd w:val="clear" w:color="auto" w:fill="FFFFFF"/>
        </w:rPr>
        <w:t>(1)</w:t>
      </w:r>
      <w:r w:rsidRPr="00F563E4">
        <w:rPr>
          <w:rFonts w:ascii="Segoe UI" w:hAnsi="Segoe UI" w:cs="Segoe UI"/>
          <w:color w:val="0D0D0D"/>
          <w:shd w:val="clear" w:color="auto" w:fill="FFFFFF"/>
        </w:rPr>
        <w:t>: p. 61-64.</w:t>
      </w:r>
    </w:p>
    <w:p w14:paraId="2A45BA99"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Yadav, A., </w:t>
      </w:r>
      <w:r w:rsidRPr="00F563E4">
        <w:rPr>
          <w:rFonts w:ascii="Segoe UI" w:hAnsi="Segoe UI" w:cs="Segoe UI"/>
          <w:i/>
          <w:iCs/>
          <w:color w:val="0D0D0D"/>
          <w:shd w:val="clear" w:color="auto" w:fill="FFFFFF"/>
        </w:rPr>
        <w:t>India: New Warnings to Cover 85% of Packs. </w:t>
      </w:r>
      <w:r w:rsidRPr="00F563E4">
        <w:rPr>
          <w:rFonts w:ascii="Segoe UI" w:hAnsi="Segoe UI" w:cs="Segoe UI"/>
          <w:color w:val="0D0D0D"/>
          <w:shd w:val="clear" w:color="auto" w:fill="FFFFFF"/>
        </w:rPr>
        <w:t>Tobacco Control, 2015. 24</w:t>
      </w:r>
      <w:r w:rsidRPr="00F563E4">
        <w:rPr>
          <w:rFonts w:ascii="Segoe UI" w:hAnsi="Segoe UI" w:cs="Segoe UI"/>
          <w:i/>
          <w:iCs/>
          <w:color w:val="0D0D0D"/>
          <w:shd w:val="clear" w:color="auto" w:fill="FFFFFF"/>
        </w:rPr>
        <w:t>(1)</w:t>
      </w:r>
      <w:r w:rsidRPr="00F563E4">
        <w:rPr>
          <w:rFonts w:ascii="Segoe UI" w:hAnsi="Segoe UI" w:cs="Segoe UI"/>
          <w:color w:val="0D0D0D"/>
          <w:shd w:val="clear" w:color="auto" w:fill="FFFFFF"/>
        </w:rPr>
        <w:t>: p. 3.</w:t>
      </w:r>
    </w:p>
    <w:p w14:paraId="50145812"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Moodie, C., et al., </w:t>
      </w:r>
      <w:r w:rsidRPr="00F563E4">
        <w:rPr>
          <w:rFonts w:ascii="Segoe UI" w:hAnsi="Segoe UI" w:cs="Segoe UI"/>
          <w:i/>
          <w:iCs/>
          <w:color w:val="0D0D0D"/>
          <w:shd w:val="clear" w:color="auto" w:fill="FFFFFF"/>
        </w:rPr>
        <w:t>Plain tobacco packaging: A systematic review. </w:t>
      </w:r>
      <w:r w:rsidRPr="00F563E4">
        <w:rPr>
          <w:rFonts w:ascii="Segoe UI" w:hAnsi="Segoe UI" w:cs="Segoe UI"/>
          <w:color w:val="0D0D0D"/>
          <w:shd w:val="clear" w:color="auto" w:fill="FFFFFF"/>
        </w:rPr>
        <w:t>UK Centre for Tobacco Control Studies, 2012.</w:t>
      </w:r>
    </w:p>
    <w:p w14:paraId="3783983C"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Wakefield, M.A., et al., </w:t>
      </w:r>
      <w:r w:rsidRPr="00F563E4">
        <w:rPr>
          <w:rFonts w:ascii="Segoe UI" w:hAnsi="Segoe UI" w:cs="Segoe UI"/>
          <w:i/>
          <w:iCs/>
          <w:color w:val="0D0D0D"/>
          <w:shd w:val="clear" w:color="auto" w:fill="FFFFFF"/>
        </w:rPr>
        <w:t>Introduction effects of the Australian Plain Packaging policy on adult smokers: a cross-sectional study. </w:t>
      </w:r>
      <w:r w:rsidRPr="00F563E4">
        <w:rPr>
          <w:rFonts w:ascii="Segoe UI" w:hAnsi="Segoe UI" w:cs="Segoe UI"/>
          <w:color w:val="0D0D0D"/>
          <w:shd w:val="clear" w:color="auto" w:fill="FFFFFF"/>
        </w:rPr>
        <w:t>BMJ open, 2013. 3</w:t>
      </w:r>
      <w:r w:rsidRPr="00F563E4">
        <w:rPr>
          <w:rFonts w:ascii="Segoe UI" w:hAnsi="Segoe UI" w:cs="Segoe UI"/>
          <w:i/>
          <w:iCs/>
          <w:color w:val="0D0D0D"/>
          <w:shd w:val="clear" w:color="auto" w:fill="FFFFFF"/>
        </w:rPr>
        <w:t>(7)</w:t>
      </w:r>
      <w:r w:rsidRPr="00F563E4">
        <w:rPr>
          <w:rFonts w:ascii="Segoe UI" w:hAnsi="Segoe UI" w:cs="Segoe UI"/>
          <w:color w:val="0D0D0D"/>
          <w:shd w:val="clear" w:color="auto" w:fill="FFFFFF"/>
        </w:rPr>
        <w:t>: p. e003175.</w:t>
      </w:r>
    </w:p>
    <w:p w14:paraId="4E740CA3"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Lok Sabha Secretariat, </w:t>
      </w:r>
      <w:r w:rsidRPr="00F563E4">
        <w:rPr>
          <w:rFonts w:ascii="Segoe UI" w:hAnsi="Segoe UI" w:cs="Segoe UI"/>
          <w:i/>
          <w:iCs/>
          <w:color w:val="0D0D0D"/>
          <w:shd w:val="clear" w:color="auto" w:fill="FFFFFF"/>
        </w:rPr>
        <w:t>Fourth Report on the Cigarettes and other Tobacco Products (Prohibition of Advertisement and Regulation of Trade and Commerce, Production, Supply and Distribution) Act, 2003</w:t>
      </w:r>
      <w:r w:rsidRPr="00F563E4">
        <w:rPr>
          <w:rFonts w:ascii="Segoe UI" w:hAnsi="Segoe UI" w:cs="Segoe UI"/>
          <w:color w:val="0D0D0D"/>
          <w:shd w:val="clear" w:color="auto" w:fill="FFFFFF"/>
        </w:rPr>
        <w:t xml:space="preserve">, </w:t>
      </w:r>
      <w:proofErr w:type="spellStart"/>
      <w:r w:rsidRPr="00F563E4">
        <w:rPr>
          <w:rFonts w:ascii="Segoe UI" w:hAnsi="Segoe UI" w:cs="Segoe UI"/>
          <w:color w:val="0D0D0D"/>
          <w:shd w:val="clear" w:color="auto" w:fill="FFFFFF"/>
        </w:rPr>
        <w:t>C.o.S.</w:t>
      </w:r>
      <w:proofErr w:type="spellEnd"/>
      <w:r w:rsidRPr="00F563E4">
        <w:rPr>
          <w:rFonts w:ascii="Segoe UI" w:hAnsi="Segoe UI" w:cs="Segoe UI"/>
          <w:color w:val="0D0D0D"/>
          <w:shd w:val="clear" w:color="auto" w:fill="FFFFFF"/>
        </w:rPr>
        <w:t xml:space="preserve"> Legislation, Editor. 2015, Government of India Press: New Delhi.</w:t>
      </w:r>
    </w:p>
    <w:p w14:paraId="5515B70F"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White V, </w:t>
      </w:r>
      <w:r w:rsidRPr="00F563E4">
        <w:rPr>
          <w:rFonts w:ascii="Segoe UI" w:hAnsi="Segoe UI" w:cs="Segoe UI"/>
          <w:i/>
          <w:iCs/>
          <w:color w:val="0D0D0D"/>
          <w:shd w:val="clear" w:color="auto" w:fill="FFFFFF"/>
        </w:rPr>
        <w:t>Australian Secondary Students’ Alcohol and Drug (ASSAD)</w:t>
      </w:r>
      <w:r w:rsidRPr="00F563E4">
        <w:rPr>
          <w:rFonts w:ascii="Segoe UI" w:hAnsi="Segoe UI" w:cs="Segoe UI"/>
          <w:color w:val="0D0D0D"/>
          <w:shd w:val="clear" w:color="auto" w:fill="FFFFFF"/>
        </w:rPr>
        <w:t>, Centre for Behavioural Research in Cancer (CBRC), Editor. 2015, Department of Health Canberra.</w:t>
      </w:r>
    </w:p>
    <w:p w14:paraId="3D1C9F3A"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Hammond D, </w:t>
      </w:r>
      <w:r w:rsidRPr="00F563E4">
        <w:rPr>
          <w:rFonts w:ascii="Segoe UI" w:hAnsi="Segoe UI" w:cs="Segoe UI"/>
          <w:i/>
          <w:iCs/>
          <w:color w:val="0D0D0D"/>
          <w:shd w:val="clear" w:color="auto" w:fill="FFFFFF"/>
        </w:rPr>
        <w:t>Health warning messages on tobacco products: a review </w:t>
      </w:r>
      <w:r w:rsidRPr="00F563E4">
        <w:rPr>
          <w:rFonts w:ascii="Segoe UI" w:hAnsi="Segoe UI" w:cs="Segoe UI"/>
          <w:color w:val="0D0D0D"/>
          <w:shd w:val="clear" w:color="auto" w:fill="FFFFFF"/>
        </w:rPr>
        <w:t>Tobacco Control, 2011. 20(327).</w:t>
      </w:r>
    </w:p>
    <w:p w14:paraId="0E1559AD"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 xml:space="preserve">Arora M, T.A., Grills N, Nazar GP, </w:t>
      </w:r>
      <w:proofErr w:type="spellStart"/>
      <w:r w:rsidRPr="00F563E4">
        <w:rPr>
          <w:rFonts w:ascii="Segoe UI" w:hAnsi="Segoe UI" w:cs="Segoe UI"/>
          <w:color w:val="0D0D0D"/>
          <w:shd w:val="clear" w:color="auto" w:fill="FFFFFF"/>
        </w:rPr>
        <w:t>Sonrexa</w:t>
      </w:r>
      <w:proofErr w:type="spellEnd"/>
      <w:r w:rsidRPr="00F563E4">
        <w:rPr>
          <w:rFonts w:ascii="Segoe UI" w:hAnsi="Segoe UI" w:cs="Segoe UI"/>
          <w:color w:val="0D0D0D"/>
          <w:shd w:val="clear" w:color="auto" w:fill="FFFFFF"/>
        </w:rPr>
        <w:t xml:space="preserve"> J, Gupta VK, Moodie R, Reddy KS., </w:t>
      </w:r>
      <w:r w:rsidRPr="00F563E4">
        <w:rPr>
          <w:rFonts w:ascii="Segoe UI" w:hAnsi="Segoe UI" w:cs="Segoe UI"/>
          <w:i/>
          <w:iCs/>
          <w:color w:val="0D0D0D"/>
          <w:shd w:val="clear" w:color="auto" w:fill="FFFFFF"/>
        </w:rPr>
        <w:t>Exploring perception of Indians about Plain Packaging of tobacco products. </w:t>
      </w:r>
      <w:r w:rsidRPr="00F563E4">
        <w:rPr>
          <w:rFonts w:ascii="Segoe UI" w:hAnsi="Segoe UI" w:cs="Segoe UI"/>
          <w:color w:val="0D0D0D"/>
          <w:shd w:val="clear" w:color="auto" w:fill="FFFFFF"/>
        </w:rPr>
        <w:t>Frontiers in Public Health, 2013. 1: p. 35.</w:t>
      </w:r>
    </w:p>
    <w:p w14:paraId="641E0103"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Dunlop, S., et al., </w:t>
      </w:r>
      <w:r w:rsidRPr="00F563E4">
        <w:rPr>
          <w:rFonts w:ascii="Segoe UI" w:hAnsi="Segoe UI" w:cs="Segoe UI"/>
          <w:i/>
          <w:iCs/>
          <w:color w:val="0D0D0D"/>
          <w:shd w:val="clear" w:color="auto" w:fill="FFFFFF"/>
        </w:rPr>
        <w:t>Impact of Australia’s introduction of tobacco plain packs on adult smokers’ pack-related perceptions and responses. </w:t>
      </w:r>
      <w:r w:rsidRPr="00F563E4">
        <w:rPr>
          <w:rFonts w:ascii="Segoe UI" w:hAnsi="Segoe UI" w:cs="Segoe UI"/>
          <w:color w:val="0D0D0D"/>
          <w:shd w:val="clear" w:color="auto" w:fill="FFFFFF"/>
        </w:rPr>
        <w:t>BMJ Open, 2014. 4: p. e005836.</w:t>
      </w:r>
    </w:p>
    <w:p w14:paraId="6E19AEA6"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Hammond, D., </w:t>
      </w:r>
      <w:r w:rsidRPr="00F563E4">
        <w:rPr>
          <w:rFonts w:ascii="Segoe UI" w:hAnsi="Segoe UI" w:cs="Segoe UI"/>
          <w:i/>
          <w:iCs/>
          <w:color w:val="0D0D0D"/>
          <w:shd w:val="clear" w:color="auto" w:fill="FFFFFF"/>
        </w:rPr>
        <w:t>Standardized packaging of tobacco products: evidence review</w:t>
      </w:r>
      <w:r w:rsidRPr="00F563E4">
        <w:rPr>
          <w:rFonts w:ascii="Segoe UI" w:hAnsi="Segoe UI" w:cs="Segoe UI"/>
          <w:color w:val="0D0D0D"/>
          <w:shd w:val="clear" w:color="auto" w:fill="FFFFFF"/>
        </w:rPr>
        <w:t>. 2014, Irish Department of Health.</w:t>
      </w:r>
    </w:p>
    <w:p w14:paraId="6A4DF8FC"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Australia India Institute, </w:t>
      </w:r>
      <w:r w:rsidRPr="00F563E4">
        <w:rPr>
          <w:rFonts w:ascii="Segoe UI" w:hAnsi="Segoe UI" w:cs="Segoe UI"/>
          <w:i/>
          <w:iCs/>
          <w:color w:val="0D0D0D"/>
          <w:shd w:val="clear" w:color="auto" w:fill="FFFFFF"/>
        </w:rPr>
        <w:t>Report of the AII Taskforce on Tobacco Control: Plain Packaging of tobacco products</w:t>
      </w:r>
      <w:r w:rsidRPr="00F563E4">
        <w:rPr>
          <w:rFonts w:ascii="Segoe UI" w:hAnsi="Segoe UI" w:cs="Segoe UI"/>
          <w:color w:val="0D0D0D"/>
          <w:shd w:val="clear" w:color="auto" w:fill="FFFFFF"/>
        </w:rPr>
        <w:t>. 2012: Melbourne</w:t>
      </w:r>
    </w:p>
    <w:p w14:paraId="4C55BDED"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Hughes N, Grills N, and Aurora M, </w:t>
      </w:r>
      <w:r w:rsidRPr="00F563E4">
        <w:rPr>
          <w:rFonts w:ascii="Segoe UI" w:hAnsi="Segoe UI" w:cs="Segoe UI"/>
          <w:i/>
          <w:iCs/>
          <w:color w:val="0D0D0D"/>
          <w:shd w:val="clear" w:color="auto" w:fill="FFFFFF"/>
        </w:rPr>
        <w:t xml:space="preserve">Effect of plain packaging of tobacco products in </w:t>
      </w:r>
      <w:proofErr w:type="gramStart"/>
      <w:r w:rsidRPr="00F563E4">
        <w:rPr>
          <w:rFonts w:ascii="Segoe UI" w:hAnsi="Segoe UI" w:cs="Segoe UI"/>
          <w:i/>
          <w:iCs/>
          <w:color w:val="0D0D0D"/>
          <w:shd w:val="clear" w:color="auto" w:fill="FFFFFF"/>
        </w:rPr>
        <w:t>low and middle income</w:t>
      </w:r>
      <w:proofErr w:type="gramEnd"/>
      <w:r w:rsidRPr="00F563E4">
        <w:rPr>
          <w:rFonts w:ascii="Segoe UI" w:hAnsi="Segoe UI" w:cs="Segoe UI"/>
          <w:i/>
          <w:iCs/>
          <w:color w:val="0D0D0D"/>
          <w:shd w:val="clear" w:color="auto" w:fill="FFFFFF"/>
        </w:rPr>
        <w:t xml:space="preserve"> settings: A systematic review of the literature. </w:t>
      </w:r>
      <w:r w:rsidRPr="00F563E4">
        <w:rPr>
          <w:rFonts w:ascii="Segoe UI" w:hAnsi="Segoe UI" w:cs="Segoe UI"/>
          <w:color w:val="0D0D0D"/>
          <w:shd w:val="clear" w:color="auto" w:fill="FFFFFF"/>
        </w:rPr>
        <w:t>Currently under reviewed, 2015.</w:t>
      </w:r>
    </w:p>
    <w:p w14:paraId="106419E6"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 xml:space="preserve">Jann W and </w:t>
      </w:r>
      <w:proofErr w:type="spellStart"/>
      <w:r w:rsidRPr="00F563E4">
        <w:rPr>
          <w:rFonts w:ascii="Segoe UI" w:hAnsi="Segoe UI" w:cs="Segoe UI"/>
          <w:color w:val="0D0D0D"/>
          <w:shd w:val="clear" w:color="auto" w:fill="FFFFFF"/>
        </w:rPr>
        <w:t>Werich</w:t>
      </w:r>
      <w:proofErr w:type="spellEnd"/>
      <w:r w:rsidRPr="00F563E4">
        <w:rPr>
          <w:rFonts w:ascii="Segoe UI" w:hAnsi="Segoe UI" w:cs="Segoe UI"/>
          <w:color w:val="0D0D0D"/>
          <w:shd w:val="clear" w:color="auto" w:fill="FFFFFF"/>
        </w:rPr>
        <w:t xml:space="preserve"> K, </w:t>
      </w:r>
      <w:r w:rsidRPr="00F563E4">
        <w:rPr>
          <w:rFonts w:ascii="Segoe UI" w:hAnsi="Segoe UI" w:cs="Segoe UI"/>
          <w:i/>
          <w:iCs/>
          <w:color w:val="0D0D0D"/>
          <w:shd w:val="clear" w:color="auto" w:fill="FFFFFF"/>
        </w:rPr>
        <w:t>Theories of policy change</w:t>
      </w:r>
      <w:r w:rsidRPr="00F563E4">
        <w:rPr>
          <w:rFonts w:ascii="Segoe UI" w:hAnsi="Segoe UI" w:cs="Segoe UI"/>
          <w:color w:val="0D0D0D"/>
          <w:shd w:val="clear" w:color="auto" w:fill="FFFFFF"/>
        </w:rPr>
        <w:t>, in </w:t>
      </w:r>
      <w:r w:rsidRPr="00F563E4">
        <w:rPr>
          <w:rFonts w:ascii="Segoe UI" w:hAnsi="Segoe UI" w:cs="Segoe UI"/>
          <w:i/>
          <w:iCs/>
          <w:color w:val="0D0D0D"/>
          <w:shd w:val="clear" w:color="auto" w:fill="FFFFFF"/>
        </w:rPr>
        <w:t>Handbook of Public Policy Analysis: Theory, Politics, and Methods</w:t>
      </w:r>
      <w:r w:rsidRPr="00F563E4">
        <w:rPr>
          <w:rFonts w:ascii="Segoe UI" w:hAnsi="Segoe UI" w:cs="Segoe UI"/>
          <w:color w:val="0D0D0D"/>
          <w:shd w:val="clear" w:color="auto" w:fill="FFFFFF"/>
        </w:rPr>
        <w:t>, Fischer F and Miller GJ, Editors. 2007, Taylor and Francis group.</w:t>
      </w:r>
    </w:p>
    <w:p w14:paraId="6B423623" w14:textId="77777777" w:rsidR="00F563E4" w:rsidRPr="00F563E4" w:rsidRDefault="00F563E4" w:rsidP="00F563E4">
      <w:pPr>
        <w:shd w:val="clear" w:color="auto" w:fill="FFFFFF"/>
        <w:spacing w:before="90" w:after="90" w:line="240" w:lineRule="auto"/>
        <w:rPr>
          <w:rFonts w:ascii="Segoe UI" w:hAnsi="Segoe UI" w:cs="Segoe UI"/>
          <w:color w:val="0D0D0D"/>
          <w:shd w:val="clear" w:color="auto" w:fill="FFFFFF"/>
        </w:rPr>
      </w:pPr>
      <w:r w:rsidRPr="00F563E4">
        <w:rPr>
          <w:rFonts w:ascii="Segoe UI" w:hAnsi="Segoe UI" w:cs="Segoe UI"/>
          <w:color w:val="0D0D0D"/>
          <w:shd w:val="clear" w:color="auto" w:fill="FFFFFF"/>
        </w:rPr>
        <w:t>Henggeler, S.W., et al., </w:t>
      </w:r>
      <w:r w:rsidRPr="00F563E4">
        <w:rPr>
          <w:rFonts w:ascii="Segoe UI" w:hAnsi="Segoe UI" w:cs="Segoe UI"/>
          <w:i/>
          <w:iCs/>
          <w:color w:val="0D0D0D"/>
          <w:shd w:val="clear" w:color="auto" w:fill="FFFFFF"/>
        </w:rPr>
        <w:t>Transporting efficacious treatments to field settings: The link between supervisory practices and therapist fidelity in MST programs. </w:t>
      </w:r>
      <w:r w:rsidRPr="00F563E4">
        <w:rPr>
          <w:rFonts w:ascii="Segoe UI" w:hAnsi="Segoe UI" w:cs="Segoe UI"/>
          <w:color w:val="0D0D0D"/>
          <w:shd w:val="clear" w:color="auto" w:fill="FFFFFF"/>
        </w:rPr>
        <w:t>Journal of Clinical Child &amp; Adolescent Psychology, 2002. 31</w:t>
      </w:r>
      <w:r w:rsidRPr="00F563E4">
        <w:rPr>
          <w:rFonts w:ascii="Segoe UI" w:hAnsi="Segoe UI" w:cs="Segoe UI"/>
          <w:i/>
          <w:iCs/>
          <w:color w:val="0D0D0D"/>
          <w:shd w:val="clear" w:color="auto" w:fill="FFFFFF"/>
        </w:rPr>
        <w:t>(2)</w:t>
      </w:r>
      <w:r w:rsidRPr="00F563E4">
        <w:rPr>
          <w:rFonts w:ascii="Segoe UI" w:hAnsi="Segoe UI" w:cs="Segoe UI"/>
          <w:color w:val="0D0D0D"/>
          <w:shd w:val="clear" w:color="auto" w:fill="FFFFFF"/>
        </w:rPr>
        <w:t>: p. 155-67.</w:t>
      </w:r>
    </w:p>
    <w:p w14:paraId="1834CA19" w14:textId="529B164D" w:rsidR="00A704A2" w:rsidRDefault="00A704A2" w:rsidP="00F563E4">
      <w:pPr>
        <w:shd w:val="clear" w:color="auto" w:fill="FFFFFF"/>
        <w:spacing w:before="90" w:after="90" w:line="240" w:lineRule="auto"/>
        <w:rPr>
          <w:rFonts w:ascii="Segoe UI" w:hAnsi="Segoe UI" w:cs="Segoe UI"/>
          <w:color w:val="0D0D0D"/>
          <w:shd w:val="clear" w:color="auto" w:fill="FFFFFF"/>
        </w:rPr>
      </w:pPr>
    </w:p>
    <w:p w14:paraId="58AAA3FD" w14:textId="0E5D42B1" w:rsidR="00E94AA8" w:rsidRPr="00641B60" w:rsidRDefault="00E94AA8" w:rsidP="00E94AA8">
      <w:pPr>
        <w:rPr>
          <w:rFonts w:ascii="Calibri" w:eastAsia="Calibri" w:hAnsi="Calibri" w:cs="Calibri"/>
          <w:sz w:val="28"/>
          <w:szCs w:val="28"/>
        </w:rPr>
      </w:pPr>
      <w:r>
        <w:rPr>
          <w:noProof/>
        </w:rPr>
        <mc:AlternateContent>
          <mc:Choice Requires="wpg">
            <w:drawing>
              <wp:anchor distT="0" distB="0" distL="114300" distR="114300" simplePos="0" relativeHeight="251678720" behindDoc="1" locked="0" layoutInCell="1" allowOverlap="1" wp14:anchorId="5DA75AE6" wp14:editId="65607913">
                <wp:simplePos x="0" y="0"/>
                <wp:positionH relativeFrom="page">
                  <wp:posOffset>1153723</wp:posOffset>
                </wp:positionH>
                <wp:positionV relativeFrom="page">
                  <wp:posOffset>8872881</wp:posOffset>
                </wp:positionV>
                <wp:extent cx="5753735" cy="0"/>
                <wp:effectExtent l="0" t="12700" r="1206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0"/>
                          <a:chOff x="1743" y="9298"/>
                          <a:chExt cx="9061" cy="0"/>
                        </a:xfrm>
                      </wpg:grpSpPr>
                      <wps:wsp>
                        <wps:cNvPr id="2" name="Freeform 2"/>
                        <wps:cNvSpPr>
                          <a:spLocks/>
                        </wps:cNvSpPr>
                        <wps:spPr bwMode="auto">
                          <a:xfrm>
                            <a:off x="1743" y="9298"/>
                            <a:ext cx="9061" cy="0"/>
                          </a:xfrm>
                          <a:custGeom>
                            <a:avLst/>
                            <a:gdLst>
                              <a:gd name="T0" fmla="+- 0 1743 1743"/>
                              <a:gd name="T1" fmla="*/ T0 w 9061"/>
                              <a:gd name="T2" fmla="+- 0 10804 1743"/>
                              <a:gd name="T3" fmla="*/ T2 w 9061"/>
                            </a:gdLst>
                            <a:ahLst/>
                            <a:cxnLst>
                              <a:cxn ang="0">
                                <a:pos x="T1" y="0"/>
                              </a:cxn>
                              <a:cxn ang="0">
                                <a:pos x="T3" y="0"/>
                              </a:cxn>
                            </a:cxnLst>
                            <a:rect l="0" t="0" r="r" b="b"/>
                            <a:pathLst>
                              <a:path w="9061">
                                <a:moveTo>
                                  <a:pt x="0" y="0"/>
                                </a:moveTo>
                                <a:lnTo>
                                  <a:pt x="9061" y="0"/>
                                </a:lnTo>
                              </a:path>
                            </a:pathLst>
                          </a:custGeom>
                          <a:noFill/>
                          <a:ln w="29464">
                            <a:solidFill>
                              <a:srgbClr val="FF86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C671F" id="Group 1" o:spid="_x0000_s1026" style="position:absolute;margin-left:90.85pt;margin-top:698.65pt;width:453.05pt;height:0;z-index:-251637760;mso-position-horizontal-relative:page;mso-position-vertical-relative:page" coordorigin="1743,9298" coordsize="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">
                <v:shape id="Freeform 2" o:spid="_x0000_s1027" style="position:absolute;left:1743;top:9298;width:9061;height:0;visibility:visible;mso-wrap-style:square;v-text-anchor:top" coordsize="9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" path="m,l9061,e" filled="f" strokecolor="#ff864f" strokeweight="2.32pt">
                  <v:path arrowok="t" o:connecttype="custom" o:connectlocs="0,0;9061,0"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11D1B021" wp14:editId="345E923E">
                <wp:simplePos x="0" y="0"/>
                <wp:positionH relativeFrom="page">
                  <wp:posOffset>1168546</wp:posOffset>
                </wp:positionH>
                <wp:positionV relativeFrom="page">
                  <wp:posOffset>1947789</wp:posOffset>
                </wp:positionV>
                <wp:extent cx="5753735" cy="0"/>
                <wp:effectExtent l="0" t="12700" r="12065" b="1270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0"/>
                          <a:chOff x="1743" y="9298"/>
                          <a:chExt cx="9061" cy="0"/>
                        </a:xfrm>
                      </wpg:grpSpPr>
                      <wps:wsp>
                        <wps:cNvPr id="117" name="Freeform 117"/>
                        <wps:cNvSpPr>
                          <a:spLocks/>
                        </wps:cNvSpPr>
                        <wps:spPr bwMode="auto">
                          <a:xfrm>
                            <a:off x="1743" y="9298"/>
                            <a:ext cx="9061" cy="0"/>
                          </a:xfrm>
                          <a:custGeom>
                            <a:avLst/>
                            <a:gdLst>
                              <a:gd name="T0" fmla="+- 0 1743 1743"/>
                              <a:gd name="T1" fmla="*/ T0 w 9061"/>
                              <a:gd name="T2" fmla="+- 0 10804 1743"/>
                              <a:gd name="T3" fmla="*/ T2 w 9061"/>
                            </a:gdLst>
                            <a:ahLst/>
                            <a:cxnLst>
                              <a:cxn ang="0">
                                <a:pos x="T1" y="0"/>
                              </a:cxn>
                              <a:cxn ang="0">
                                <a:pos x="T3" y="0"/>
                              </a:cxn>
                            </a:cxnLst>
                            <a:rect l="0" t="0" r="r" b="b"/>
                            <a:pathLst>
                              <a:path w="9061">
                                <a:moveTo>
                                  <a:pt x="0" y="0"/>
                                </a:moveTo>
                                <a:lnTo>
                                  <a:pt x="9061" y="0"/>
                                </a:lnTo>
                              </a:path>
                            </a:pathLst>
                          </a:custGeom>
                          <a:noFill/>
                          <a:ln w="29464">
                            <a:solidFill>
                              <a:srgbClr val="FF86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2E0AF" id="Group 116" o:spid="_x0000_s1026" style="position:absolute;margin-left:92pt;margin-top:153.35pt;width:453.05pt;height:0;z-index:-251639808;mso-position-horizontal-relative:page;mso-position-vertical-relative:page" coordorigin="1743,9298" coordsize="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">
                <v:shape id="Freeform 117" o:spid="_x0000_s1027" style="position:absolute;left:1743;top:9298;width:9061;height:0;visibility:visible;mso-wrap-style:square;v-text-anchor:top" coordsize="9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" path="m,l9061,e" filled="f" strokecolor="#ff864f" strokeweight="2.32pt">
                  <v:path arrowok="t" o:connecttype="custom" o:connectlocs="0,0;9061,0" o:connectangles="0,0"/>
                </v:shape>
                <w10:wrap anchorx="page" anchory="page"/>
              </v:group>
            </w:pict>
          </mc:Fallback>
        </mc:AlternateContent>
      </w:r>
      <w:r>
        <w:rPr>
          <w:rFonts w:ascii="Calibri" w:eastAsia="Calibri" w:hAnsi="Calibri" w:cs="Calibri"/>
          <w:b/>
          <w:noProof/>
          <w:color w:val="73908F"/>
          <w:sz w:val="28"/>
          <w:szCs w:val="28"/>
        </w:rPr>
        <w:drawing>
          <wp:inline distT="0" distB="0" distL="0" distR="0" wp14:anchorId="2B1D2D77" wp14:editId="1965F903">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59508" cy="359508"/>
                    </a:xfrm>
                    <a:prstGeom prst="rect">
                      <a:avLst/>
                    </a:prstGeom>
                  </pic:spPr>
                </pic:pic>
              </a:graphicData>
            </a:graphic>
          </wp:inline>
        </w:drawing>
      </w:r>
      <w:r>
        <w:rPr>
          <w:rFonts w:ascii="Calibri" w:eastAsia="Calibri" w:hAnsi="Calibri" w:cs="Calibri"/>
          <w:b/>
          <w:color w:val="73908F"/>
          <w:sz w:val="28"/>
          <w:szCs w:val="28"/>
        </w:rPr>
        <w:t xml:space="preserve">   Key learning objectives </w:t>
      </w:r>
    </w:p>
    <w:p w14:paraId="212ABB8F" w14:textId="77777777" w:rsidR="00E94AA8" w:rsidRPr="00E94AA8" w:rsidRDefault="00E94AA8" w:rsidP="00E94AA8">
      <w:pPr>
        <w:pStyle w:val="ListParagraph"/>
        <w:numPr>
          <w:ilvl w:val="0"/>
          <w:numId w:val="16"/>
        </w:numPr>
        <w:spacing w:before="100" w:beforeAutospacing="1" w:after="100" w:afterAutospacing="1" w:line="240" w:lineRule="auto"/>
        <w:rPr>
          <w:rFonts w:ascii="Segoe UI" w:eastAsia="Times New Roman" w:hAnsi="Segoe UI" w:cs="Segoe UI"/>
          <w:lang w:eastAsia="ja-JP"/>
        </w:rPr>
      </w:pPr>
      <w:r w:rsidRPr="00E94AA8">
        <w:rPr>
          <w:rFonts w:ascii="Segoe UI" w:eastAsia="Times New Roman" w:hAnsi="Segoe UI" w:cs="Segoe UI"/>
          <w:lang w:eastAsia="ja-JP"/>
        </w:rPr>
        <w:t>Recognize the need for localized evidence when adopting evidence-based policies like tobacco plain packaging in diverse settings.</w:t>
      </w:r>
    </w:p>
    <w:p w14:paraId="7F6A3343" w14:textId="77777777" w:rsidR="00E94AA8" w:rsidRPr="00E94AA8" w:rsidRDefault="00E94AA8" w:rsidP="00E94AA8">
      <w:pPr>
        <w:pStyle w:val="ListParagraph"/>
        <w:numPr>
          <w:ilvl w:val="0"/>
          <w:numId w:val="16"/>
        </w:numPr>
        <w:spacing w:after="0" w:line="240" w:lineRule="auto"/>
        <w:rPr>
          <w:rFonts w:ascii="Segoe UI" w:eastAsia="Times New Roman" w:hAnsi="Segoe UI" w:cs="Segoe UI"/>
          <w:lang w:eastAsia="ja-JP"/>
        </w:rPr>
      </w:pPr>
      <w:r w:rsidRPr="00E94AA8">
        <w:rPr>
          <w:rFonts w:ascii="Segoe UI" w:eastAsia="Times New Roman" w:hAnsi="Segoe UI" w:cs="Segoe UI"/>
          <w:lang w:eastAsia="ja-JP"/>
        </w:rPr>
        <w:t>Understand how strategic engagement with credible stakeholders can help overcome resistance and build momentum for policy change.</w:t>
      </w:r>
    </w:p>
    <w:p w14:paraId="283D9B22" w14:textId="77777777" w:rsidR="00E94AA8" w:rsidRPr="00E94AA8" w:rsidRDefault="00E94AA8" w:rsidP="00E94AA8">
      <w:pPr>
        <w:pStyle w:val="ListParagraph"/>
        <w:numPr>
          <w:ilvl w:val="0"/>
          <w:numId w:val="16"/>
        </w:numPr>
        <w:spacing w:after="0" w:line="240" w:lineRule="auto"/>
        <w:rPr>
          <w:rFonts w:ascii="Segoe UI" w:eastAsia="Times New Roman" w:hAnsi="Segoe UI" w:cs="Segoe UI"/>
          <w:lang w:eastAsia="ja-JP"/>
        </w:rPr>
      </w:pPr>
      <w:r w:rsidRPr="00E94AA8">
        <w:rPr>
          <w:rFonts w:ascii="Segoe UI" w:eastAsia="Times New Roman" w:hAnsi="Segoe UI" w:cs="Segoe UI"/>
          <w:lang w:eastAsia="ja-JP"/>
        </w:rPr>
        <w:lastRenderedPageBreak/>
        <w:t>Learn how political changes and opposition from powerful industries, like tobacco, can slow down policy implementation.</w:t>
      </w:r>
    </w:p>
    <w:p w14:paraId="2957367A" w14:textId="538C43E3" w:rsidR="00E94AA8" w:rsidRPr="00E94AA8" w:rsidRDefault="00E94AA8" w:rsidP="00E94AA8">
      <w:pPr>
        <w:pStyle w:val="ListParagraph"/>
        <w:numPr>
          <w:ilvl w:val="0"/>
          <w:numId w:val="16"/>
        </w:numPr>
        <w:spacing w:after="0" w:line="240" w:lineRule="auto"/>
        <w:rPr>
          <w:rFonts w:ascii="Segoe UI" w:eastAsia="Times New Roman" w:hAnsi="Segoe UI" w:cs="Segoe UI"/>
          <w:lang w:eastAsia="ja-JP"/>
        </w:rPr>
      </w:pPr>
      <w:r w:rsidRPr="00E94AA8">
        <w:rPr>
          <w:rFonts w:ascii="Segoe UI" w:eastAsia="Times New Roman" w:hAnsi="Segoe UI" w:cs="Segoe UI"/>
          <w:lang w:eastAsia="ja-JP"/>
        </w:rPr>
        <w:t>Understand that further research is necessary to gather local evidence and strengthen the case for policy adoption in India.</w:t>
      </w:r>
    </w:p>
    <w:p w14:paraId="22B36EB4" w14:textId="5D407F37" w:rsidR="00E94AA8" w:rsidRPr="0045701E" w:rsidRDefault="00E94AA8" w:rsidP="00F563E4">
      <w:pPr>
        <w:shd w:val="clear" w:color="auto" w:fill="FFFFFF"/>
        <w:spacing w:before="90" w:after="90" w:line="240" w:lineRule="auto"/>
        <w:rPr>
          <w:rFonts w:ascii="Segoe UI" w:hAnsi="Segoe UI" w:cs="Segoe UI"/>
          <w:color w:val="0D0D0D"/>
          <w:shd w:val="clear" w:color="auto" w:fill="FFFFFF"/>
        </w:rPr>
      </w:pPr>
    </w:p>
    <w:sectPr w:rsidR="00E94AA8" w:rsidRPr="0045701E" w:rsidSect="0033645A">
      <w:headerReference w:type="default" r:id="rId30"/>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6D0D" w14:textId="77777777" w:rsidR="008E4C18" w:rsidRDefault="008E4C18" w:rsidP="00A33673">
      <w:pPr>
        <w:spacing w:after="0"/>
      </w:pPr>
      <w:r>
        <w:separator/>
      </w:r>
    </w:p>
  </w:endnote>
  <w:endnote w:type="continuationSeparator" w:id="0">
    <w:p w14:paraId="71AEA60A" w14:textId="77777777" w:rsidR="008E4C18" w:rsidRDefault="008E4C18"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56466" w14:textId="77777777" w:rsidR="008E4C18" w:rsidRDefault="008E4C18" w:rsidP="00A33673">
      <w:pPr>
        <w:spacing w:after="0"/>
      </w:pPr>
      <w:r>
        <w:separator/>
      </w:r>
    </w:p>
  </w:footnote>
  <w:footnote w:type="continuationSeparator" w:id="0">
    <w:p w14:paraId="353D7B5D" w14:textId="77777777" w:rsidR="008E4C18" w:rsidRDefault="008E4C18"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2226"/>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3FB5DA44" w:rsidR="005C6121" w:rsidRDefault="00104530" w:rsidP="005C6121">
          <w:pPr>
            <w:spacing w:after="0"/>
          </w:pPr>
          <w:r>
            <w:rPr>
              <w:noProof/>
            </w:rPr>
            <w:drawing>
              <wp:inline distT="0" distB="0" distL="0" distR="0" wp14:anchorId="3E832910" wp14:editId="48CB13CB">
                <wp:extent cx="1271983" cy="508767"/>
                <wp:effectExtent l="0" t="0" r="4445" b="5715"/>
                <wp:docPr id="821111669" name="Picture 1" descr="Monash University | Stud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ash University | Study Options"/>
                        <pic:cNvPicPr>
                          <a:picLocks noChangeAspect="1" noChangeArrowheads="1"/>
                        </pic:cNvPicPr>
                      </pic:nvPicPr>
                      <pic:blipFill>
                        <a:blip r:embed="rId3">
                          <a:alphaModFix amt="35000"/>
                          <a:extLst>
                            <a:ext uri="{28A0092B-C50C-407E-A947-70E740481C1C}">
                              <a14:useLocalDpi xmlns:a14="http://schemas.microsoft.com/office/drawing/2010/main" val="0"/>
                            </a:ext>
                          </a:extLst>
                        </a:blip>
                        <a:srcRect/>
                        <a:stretch>
                          <a:fillRect/>
                        </a:stretch>
                      </pic:blipFill>
                      <pic:spPr bwMode="auto">
                        <a:xfrm>
                          <a:off x="0" y="0"/>
                          <a:ext cx="1284469" cy="513761"/>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7470"/>
    <w:multiLevelType w:val="multilevel"/>
    <w:tmpl w:val="777E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D3012"/>
    <w:multiLevelType w:val="multilevel"/>
    <w:tmpl w:val="9E8C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2446B9"/>
    <w:multiLevelType w:val="hybridMultilevel"/>
    <w:tmpl w:val="24B20B34"/>
    <w:lvl w:ilvl="0" w:tplc="7AEC323A">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6D7376"/>
    <w:multiLevelType w:val="hybridMultilevel"/>
    <w:tmpl w:val="B35C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358523">
    <w:abstractNumId w:val="2"/>
  </w:num>
  <w:num w:numId="2" w16cid:durableId="1535387386">
    <w:abstractNumId w:val="4"/>
  </w:num>
  <w:num w:numId="3" w16cid:durableId="100151866">
    <w:abstractNumId w:val="0"/>
  </w:num>
  <w:num w:numId="4" w16cid:durableId="256712738">
    <w:abstractNumId w:val="9"/>
  </w:num>
  <w:num w:numId="5" w16cid:durableId="977495954">
    <w:abstractNumId w:val="10"/>
  </w:num>
  <w:num w:numId="6" w16cid:durableId="1044602979">
    <w:abstractNumId w:val="14"/>
  </w:num>
  <w:num w:numId="7" w16cid:durableId="1090463180">
    <w:abstractNumId w:val="5"/>
  </w:num>
  <w:num w:numId="8" w16cid:durableId="519203633">
    <w:abstractNumId w:val="3"/>
  </w:num>
  <w:num w:numId="9" w16cid:durableId="320307108">
    <w:abstractNumId w:val="15"/>
  </w:num>
  <w:num w:numId="10" w16cid:durableId="539364278">
    <w:abstractNumId w:val="8"/>
  </w:num>
  <w:num w:numId="11" w16cid:durableId="1514149583">
    <w:abstractNumId w:val="6"/>
  </w:num>
  <w:num w:numId="12" w16cid:durableId="1997296373">
    <w:abstractNumId w:val="7"/>
  </w:num>
  <w:num w:numId="13" w16cid:durableId="777332182">
    <w:abstractNumId w:val="11"/>
  </w:num>
  <w:num w:numId="14" w16cid:durableId="1256011380">
    <w:abstractNumId w:val="1"/>
  </w:num>
  <w:num w:numId="15" w16cid:durableId="161892817">
    <w:abstractNumId w:val="12"/>
  </w:num>
  <w:num w:numId="16" w16cid:durableId="1700274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20A01"/>
    <w:rsid w:val="00025187"/>
    <w:rsid w:val="000313BF"/>
    <w:rsid w:val="00033577"/>
    <w:rsid w:val="00035D5F"/>
    <w:rsid w:val="000415C5"/>
    <w:rsid w:val="00047B7C"/>
    <w:rsid w:val="00060037"/>
    <w:rsid w:val="00071A4A"/>
    <w:rsid w:val="000752CA"/>
    <w:rsid w:val="00077EC5"/>
    <w:rsid w:val="00081817"/>
    <w:rsid w:val="00087DDE"/>
    <w:rsid w:val="000919C9"/>
    <w:rsid w:val="000963D6"/>
    <w:rsid w:val="000970E5"/>
    <w:rsid w:val="000A2CC7"/>
    <w:rsid w:val="000A6F02"/>
    <w:rsid w:val="000B6AC9"/>
    <w:rsid w:val="00104530"/>
    <w:rsid w:val="001157CA"/>
    <w:rsid w:val="00120F85"/>
    <w:rsid w:val="00131F47"/>
    <w:rsid w:val="00133B12"/>
    <w:rsid w:val="0016134C"/>
    <w:rsid w:val="00170FEF"/>
    <w:rsid w:val="00176AB2"/>
    <w:rsid w:val="0018305E"/>
    <w:rsid w:val="00194E78"/>
    <w:rsid w:val="001A3791"/>
    <w:rsid w:val="001E3749"/>
    <w:rsid w:val="001E7BD4"/>
    <w:rsid w:val="001F0514"/>
    <w:rsid w:val="001F2D3B"/>
    <w:rsid w:val="0022676B"/>
    <w:rsid w:val="00227894"/>
    <w:rsid w:val="002313D6"/>
    <w:rsid w:val="00233E2F"/>
    <w:rsid w:val="00241C72"/>
    <w:rsid w:val="00255A0D"/>
    <w:rsid w:val="00273E30"/>
    <w:rsid w:val="002749D6"/>
    <w:rsid w:val="00274E1A"/>
    <w:rsid w:val="00277FD0"/>
    <w:rsid w:val="00295096"/>
    <w:rsid w:val="002A0253"/>
    <w:rsid w:val="002A148C"/>
    <w:rsid w:val="002A3061"/>
    <w:rsid w:val="002A30D9"/>
    <w:rsid w:val="002C59EB"/>
    <w:rsid w:val="002D0AC5"/>
    <w:rsid w:val="002E3807"/>
    <w:rsid w:val="002F3171"/>
    <w:rsid w:val="003242A4"/>
    <w:rsid w:val="00331297"/>
    <w:rsid w:val="00335BF4"/>
    <w:rsid w:val="0033645A"/>
    <w:rsid w:val="00337E49"/>
    <w:rsid w:val="0034440B"/>
    <w:rsid w:val="0034721C"/>
    <w:rsid w:val="003868BC"/>
    <w:rsid w:val="003A0316"/>
    <w:rsid w:val="003C6952"/>
    <w:rsid w:val="003E5C29"/>
    <w:rsid w:val="00404B2F"/>
    <w:rsid w:val="004213DD"/>
    <w:rsid w:val="004370EB"/>
    <w:rsid w:val="0043716B"/>
    <w:rsid w:val="004405BA"/>
    <w:rsid w:val="00456168"/>
    <w:rsid w:val="0045688D"/>
    <w:rsid w:val="0045701E"/>
    <w:rsid w:val="004635B5"/>
    <w:rsid w:val="00464579"/>
    <w:rsid w:val="00464668"/>
    <w:rsid w:val="00476644"/>
    <w:rsid w:val="0048017D"/>
    <w:rsid w:val="004A61EA"/>
    <w:rsid w:val="004A6C2B"/>
    <w:rsid w:val="004C5A23"/>
    <w:rsid w:val="004D2639"/>
    <w:rsid w:val="004D60BF"/>
    <w:rsid w:val="004F58A9"/>
    <w:rsid w:val="0050771A"/>
    <w:rsid w:val="0051576D"/>
    <w:rsid w:val="00521C82"/>
    <w:rsid w:val="0053320B"/>
    <w:rsid w:val="00533453"/>
    <w:rsid w:val="00534C82"/>
    <w:rsid w:val="00550D15"/>
    <w:rsid w:val="0055751F"/>
    <w:rsid w:val="00562062"/>
    <w:rsid w:val="00571F6D"/>
    <w:rsid w:val="00583D07"/>
    <w:rsid w:val="005A016A"/>
    <w:rsid w:val="005A188D"/>
    <w:rsid w:val="005A5805"/>
    <w:rsid w:val="005A5EEC"/>
    <w:rsid w:val="005B10F0"/>
    <w:rsid w:val="005B28DE"/>
    <w:rsid w:val="005B4ADF"/>
    <w:rsid w:val="005B5133"/>
    <w:rsid w:val="005C1668"/>
    <w:rsid w:val="005C2002"/>
    <w:rsid w:val="005C6121"/>
    <w:rsid w:val="005D2DB8"/>
    <w:rsid w:val="005E2040"/>
    <w:rsid w:val="005E7B8C"/>
    <w:rsid w:val="005F22F5"/>
    <w:rsid w:val="00616EB6"/>
    <w:rsid w:val="0061789C"/>
    <w:rsid w:val="006250CD"/>
    <w:rsid w:val="006273E2"/>
    <w:rsid w:val="00631FC1"/>
    <w:rsid w:val="00634AAD"/>
    <w:rsid w:val="00655A9F"/>
    <w:rsid w:val="006711C1"/>
    <w:rsid w:val="0067283F"/>
    <w:rsid w:val="00685AB4"/>
    <w:rsid w:val="006B0C82"/>
    <w:rsid w:val="006B3FD3"/>
    <w:rsid w:val="006B7864"/>
    <w:rsid w:val="006C7032"/>
    <w:rsid w:val="006D1A22"/>
    <w:rsid w:val="006D7938"/>
    <w:rsid w:val="006E00F1"/>
    <w:rsid w:val="006E3686"/>
    <w:rsid w:val="006E37F1"/>
    <w:rsid w:val="006F35A2"/>
    <w:rsid w:val="00703AC8"/>
    <w:rsid w:val="00705C22"/>
    <w:rsid w:val="00706A07"/>
    <w:rsid w:val="0070700B"/>
    <w:rsid w:val="0072352B"/>
    <w:rsid w:val="00725052"/>
    <w:rsid w:val="00736484"/>
    <w:rsid w:val="00753877"/>
    <w:rsid w:val="0076476E"/>
    <w:rsid w:val="00765356"/>
    <w:rsid w:val="00766B3D"/>
    <w:rsid w:val="00777393"/>
    <w:rsid w:val="0078334E"/>
    <w:rsid w:val="0078778E"/>
    <w:rsid w:val="00793E41"/>
    <w:rsid w:val="007A1451"/>
    <w:rsid w:val="007A6893"/>
    <w:rsid w:val="007B473B"/>
    <w:rsid w:val="007B709D"/>
    <w:rsid w:val="007C0D41"/>
    <w:rsid w:val="007D45A6"/>
    <w:rsid w:val="007D5B09"/>
    <w:rsid w:val="00814F24"/>
    <w:rsid w:val="008225BB"/>
    <w:rsid w:val="00825B88"/>
    <w:rsid w:val="00855CF6"/>
    <w:rsid w:val="00860D33"/>
    <w:rsid w:val="008613EB"/>
    <w:rsid w:val="008928BF"/>
    <w:rsid w:val="008959B1"/>
    <w:rsid w:val="008A27B0"/>
    <w:rsid w:val="008A2E41"/>
    <w:rsid w:val="008A3393"/>
    <w:rsid w:val="008A5F9F"/>
    <w:rsid w:val="008C4BB4"/>
    <w:rsid w:val="008D3F8E"/>
    <w:rsid w:val="008E38C7"/>
    <w:rsid w:val="008E3BFD"/>
    <w:rsid w:val="008E498A"/>
    <w:rsid w:val="008E4C18"/>
    <w:rsid w:val="008F0B45"/>
    <w:rsid w:val="008F52B0"/>
    <w:rsid w:val="0091499B"/>
    <w:rsid w:val="00920C49"/>
    <w:rsid w:val="00933662"/>
    <w:rsid w:val="00933BF6"/>
    <w:rsid w:val="00937448"/>
    <w:rsid w:val="0094005B"/>
    <w:rsid w:val="009452FF"/>
    <w:rsid w:val="00954075"/>
    <w:rsid w:val="00957CB6"/>
    <w:rsid w:val="0096540B"/>
    <w:rsid w:val="0097411D"/>
    <w:rsid w:val="00986E7C"/>
    <w:rsid w:val="00987B1D"/>
    <w:rsid w:val="009C08FB"/>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A7880"/>
    <w:rsid w:val="00AB2657"/>
    <w:rsid w:val="00AB31BF"/>
    <w:rsid w:val="00AB5B73"/>
    <w:rsid w:val="00AC1DB0"/>
    <w:rsid w:val="00AC5494"/>
    <w:rsid w:val="00AC74A1"/>
    <w:rsid w:val="00AD25CE"/>
    <w:rsid w:val="00AD55D4"/>
    <w:rsid w:val="00AD684A"/>
    <w:rsid w:val="00AE092E"/>
    <w:rsid w:val="00AE0BF1"/>
    <w:rsid w:val="00AE3D1D"/>
    <w:rsid w:val="00B03D09"/>
    <w:rsid w:val="00B12DBF"/>
    <w:rsid w:val="00B17235"/>
    <w:rsid w:val="00B23276"/>
    <w:rsid w:val="00B31BA8"/>
    <w:rsid w:val="00B377B7"/>
    <w:rsid w:val="00B40019"/>
    <w:rsid w:val="00B4701B"/>
    <w:rsid w:val="00B57FFA"/>
    <w:rsid w:val="00B6023B"/>
    <w:rsid w:val="00B61480"/>
    <w:rsid w:val="00B8338A"/>
    <w:rsid w:val="00BA3319"/>
    <w:rsid w:val="00BA7283"/>
    <w:rsid w:val="00BC22E6"/>
    <w:rsid w:val="00BD112A"/>
    <w:rsid w:val="00BD4452"/>
    <w:rsid w:val="00BE228A"/>
    <w:rsid w:val="00BE7A96"/>
    <w:rsid w:val="00BF10EA"/>
    <w:rsid w:val="00C05DBA"/>
    <w:rsid w:val="00C11597"/>
    <w:rsid w:val="00C272FF"/>
    <w:rsid w:val="00C337F5"/>
    <w:rsid w:val="00C34CB1"/>
    <w:rsid w:val="00C53F16"/>
    <w:rsid w:val="00C57BF4"/>
    <w:rsid w:val="00C646C4"/>
    <w:rsid w:val="00CA529D"/>
    <w:rsid w:val="00CB67F7"/>
    <w:rsid w:val="00CD238B"/>
    <w:rsid w:val="00CE7467"/>
    <w:rsid w:val="00D05616"/>
    <w:rsid w:val="00D06466"/>
    <w:rsid w:val="00D12689"/>
    <w:rsid w:val="00D13CFB"/>
    <w:rsid w:val="00D20882"/>
    <w:rsid w:val="00D2441F"/>
    <w:rsid w:val="00D32DCF"/>
    <w:rsid w:val="00D44229"/>
    <w:rsid w:val="00D4722C"/>
    <w:rsid w:val="00D5254B"/>
    <w:rsid w:val="00D63AC3"/>
    <w:rsid w:val="00D723FF"/>
    <w:rsid w:val="00D74763"/>
    <w:rsid w:val="00D778E6"/>
    <w:rsid w:val="00D83326"/>
    <w:rsid w:val="00D90B19"/>
    <w:rsid w:val="00D92B3E"/>
    <w:rsid w:val="00DA3115"/>
    <w:rsid w:val="00DA3838"/>
    <w:rsid w:val="00DD0847"/>
    <w:rsid w:val="00DE2EF2"/>
    <w:rsid w:val="00DF1B0C"/>
    <w:rsid w:val="00DF68E7"/>
    <w:rsid w:val="00DF6E3D"/>
    <w:rsid w:val="00E058BE"/>
    <w:rsid w:val="00E10BBC"/>
    <w:rsid w:val="00E13D11"/>
    <w:rsid w:val="00E14909"/>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94AA8"/>
    <w:rsid w:val="00EC20AF"/>
    <w:rsid w:val="00ED43FE"/>
    <w:rsid w:val="00ED4B04"/>
    <w:rsid w:val="00EE39A3"/>
    <w:rsid w:val="00EE3F21"/>
    <w:rsid w:val="00EE5554"/>
    <w:rsid w:val="00F30AE0"/>
    <w:rsid w:val="00F3285C"/>
    <w:rsid w:val="00F32A9D"/>
    <w:rsid w:val="00F33829"/>
    <w:rsid w:val="00F411F7"/>
    <w:rsid w:val="00F516E3"/>
    <w:rsid w:val="00F5543C"/>
    <w:rsid w:val="00F563E4"/>
    <w:rsid w:val="00F5736B"/>
    <w:rsid w:val="00F67C6F"/>
    <w:rsid w:val="00F7197C"/>
    <w:rsid w:val="00F71CFC"/>
    <w:rsid w:val="00F8610A"/>
    <w:rsid w:val="00F91284"/>
    <w:rsid w:val="00FB1542"/>
    <w:rsid w:val="00FB7A22"/>
    <w:rsid w:val="00FC0011"/>
    <w:rsid w:val="00FD695D"/>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character" w:styleId="Emphasis">
    <w:name w:val="Emphasis"/>
    <w:basedOn w:val="DefaultParagraphFont"/>
    <w:uiPriority w:val="20"/>
    <w:qFormat/>
    <w:rsid w:val="0045701E"/>
    <w:rPr>
      <w:i/>
      <w:iCs/>
    </w:rPr>
  </w:style>
  <w:style w:type="paragraph" w:styleId="NormalWeb">
    <w:name w:val="Normal (Web)"/>
    <w:basedOn w:val="Normal"/>
    <w:uiPriority w:val="99"/>
    <w:unhideWhenUsed/>
    <w:rsid w:val="00131F47"/>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077150">
      <w:bodyDiv w:val="1"/>
      <w:marLeft w:val="0"/>
      <w:marRight w:val="0"/>
      <w:marTop w:val="0"/>
      <w:marBottom w:val="0"/>
      <w:divBdr>
        <w:top w:val="none" w:sz="0" w:space="0" w:color="auto"/>
        <w:left w:val="none" w:sz="0" w:space="0" w:color="auto"/>
        <w:bottom w:val="none" w:sz="0" w:space="0" w:color="auto"/>
        <w:right w:val="none" w:sz="0" w:space="0" w:color="auto"/>
      </w:divBdr>
    </w:div>
    <w:div w:id="654990179">
      <w:bodyDiv w:val="1"/>
      <w:marLeft w:val="0"/>
      <w:marRight w:val="0"/>
      <w:marTop w:val="0"/>
      <w:marBottom w:val="0"/>
      <w:divBdr>
        <w:top w:val="none" w:sz="0" w:space="0" w:color="auto"/>
        <w:left w:val="none" w:sz="0" w:space="0" w:color="auto"/>
        <w:bottom w:val="none" w:sz="0" w:space="0" w:color="auto"/>
        <w:right w:val="none" w:sz="0" w:space="0" w:color="auto"/>
      </w:divBdr>
    </w:div>
    <w:div w:id="815493260">
      <w:bodyDiv w:val="1"/>
      <w:marLeft w:val="0"/>
      <w:marRight w:val="0"/>
      <w:marTop w:val="0"/>
      <w:marBottom w:val="0"/>
      <w:divBdr>
        <w:top w:val="none" w:sz="0" w:space="0" w:color="auto"/>
        <w:left w:val="none" w:sz="0" w:space="0" w:color="auto"/>
        <w:bottom w:val="none" w:sz="0" w:space="0" w:color="auto"/>
        <w:right w:val="none" w:sz="0" w:space="0" w:color="auto"/>
      </w:divBdr>
    </w:div>
    <w:div w:id="1133139024">
      <w:bodyDiv w:val="1"/>
      <w:marLeft w:val="0"/>
      <w:marRight w:val="0"/>
      <w:marTop w:val="0"/>
      <w:marBottom w:val="0"/>
      <w:divBdr>
        <w:top w:val="none" w:sz="0" w:space="0" w:color="auto"/>
        <w:left w:val="none" w:sz="0" w:space="0" w:color="auto"/>
        <w:bottom w:val="none" w:sz="0" w:space="0" w:color="auto"/>
        <w:right w:val="none" w:sz="0" w:space="0" w:color="auto"/>
      </w:divBdr>
    </w:div>
    <w:div w:id="1544057874">
      <w:bodyDiv w:val="1"/>
      <w:marLeft w:val="0"/>
      <w:marRight w:val="0"/>
      <w:marTop w:val="0"/>
      <w:marBottom w:val="0"/>
      <w:divBdr>
        <w:top w:val="none" w:sz="0" w:space="0" w:color="auto"/>
        <w:left w:val="none" w:sz="0" w:space="0" w:color="auto"/>
        <w:bottom w:val="none" w:sz="0" w:space="0" w:color="auto"/>
        <w:right w:val="none" w:sz="0" w:space="0" w:color="auto"/>
      </w:divBdr>
    </w:div>
    <w:div w:id="1760104785">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1992251947">
      <w:bodyDiv w:val="1"/>
      <w:marLeft w:val="0"/>
      <w:marRight w:val="0"/>
      <w:marTop w:val="0"/>
      <w:marBottom w:val="0"/>
      <w:divBdr>
        <w:top w:val="none" w:sz="0" w:space="0" w:color="auto"/>
        <w:left w:val="none" w:sz="0" w:space="0" w:color="auto"/>
        <w:bottom w:val="none" w:sz="0" w:space="0" w:color="auto"/>
        <w:right w:val="none" w:sz="0" w:space="0" w:color="auto"/>
      </w:divBdr>
    </w:div>
    <w:div w:id="20870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youtu.be/et4oqruNe0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hyperlink" Target="https://youtu.be/y4YYePERfXE"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6.sv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1.jpeg"/><Relationship Id="rId2" Type="http://schemas.openxmlformats.org/officeDocument/2006/relationships/image" Target="media/image20.png"/><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0D644-07C9-44E5-902F-34974DCA9E6F}">
  <ds:schemaRefs>
    <ds:schemaRef ds:uri="7d9e5d5a-edbd-4666-a4fe-8649a22e4736"/>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21a7241f-69b3-479e-aa5b-852d898a3cd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E18EDE5-96F6-488B-B537-651DD4A384C2}">
  <ds:schemaRefs>
    <ds:schemaRef ds:uri="http://schemas.microsoft.com/sharepoint/v3/contenttype/forms"/>
  </ds:schemaRefs>
</ds:datastoreItem>
</file>

<file path=customXml/itemProps3.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GACD template - Word</Template>
  <TotalTime>19</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cp:lastModifiedBy>
  <cp:revision>12</cp:revision>
  <cp:lastPrinted>2024-11-04T12:18:00Z</cp:lastPrinted>
  <dcterms:created xsi:type="dcterms:W3CDTF">2024-03-05T08:58:00Z</dcterms:created>
  <dcterms:modified xsi:type="dcterms:W3CDTF">2024-11-04T12:18:00Z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