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B3A72" w14:textId="77777777" w:rsidR="003C6952" w:rsidRPr="00C45933" w:rsidRDefault="003C6952" w:rsidP="00293A60">
      <w:pPr>
        <w:jc w:val="center"/>
        <w:rPr>
          <w:color w:val="73908F" w:themeColor="accent6"/>
          <w:sz w:val="36"/>
          <w:szCs w:val="36"/>
        </w:rPr>
      </w:pPr>
      <w:r w:rsidRPr="00C45933">
        <w:rPr>
          <w:color w:val="73908F" w:themeColor="accent6"/>
          <w:sz w:val="36"/>
          <w:szCs w:val="36"/>
        </w:rPr>
        <w:t>A GACD Implementation Science e-Hub Case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908F" w:themeFill="accent6"/>
        <w:tblLook w:val="04A0" w:firstRow="1" w:lastRow="0" w:firstColumn="1" w:lastColumn="0" w:noHBand="0" w:noVBand="1"/>
      </w:tblPr>
      <w:tblGrid>
        <w:gridCol w:w="9628"/>
      </w:tblGrid>
      <w:tr w:rsidR="003C6952" w:rsidRPr="00F42EC1" w14:paraId="2C063C62" w14:textId="77777777" w:rsidTr="00794DF4">
        <w:tc>
          <w:tcPr>
            <w:tcW w:w="9628" w:type="dxa"/>
            <w:shd w:val="clear" w:color="auto" w:fill="73908F" w:themeFill="accent6"/>
          </w:tcPr>
          <w:p w14:paraId="27CE2FA3" w14:textId="7C19D549" w:rsidR="003C6952" w:rsidRPr="00F42EC1" w:rsidRDefault="00CD62E1" w:rsidP="00293A60">
            <w:pPr>
              <w:spacing w:after="0"/>
              <w:jc w:val="center"/>
              <w:rPr>
                <w:b/>
                <w:bCs/>
                <w:color w:val="FFFFFF" w:themeColor="background1"/>
                <w:sz w:val="56"/>
                <w:szCs w:val="56"/>
              </w:rPr>
            </w:pPr>
            <w:r>
              <w:rPr>
                <w:b/>
                <w:bCs/>
                <w:color w:val="FFFFFF" w:themeColor="background1"/>
                <w:sz w:val="56"/>
                <w:szCs w:val="56"/>
              </w:rPr>
              <w:t>A people-centred approach through Self-Management and Reciprocal learning for the prevention and management of Type 2 Diabetes</w:t>
            </w:r>
          </w:p>
        </w:tc>
      </w:tr>
    </w:tbl>
    <w:p w14:paraId="06474FFA" w14:textId="77777777" w:rsidR="003C6952" w:rsidRDefault="003C6952" w:rsidP="00B43603">
      <w:pPr>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C6952" w:rsidRPr="00F42EC1" w14:paraId="7025DD93" w14:textId="77777777" w:rsidTr="00794DF4">
        <w:tc>
          <w:tcPr>
            <w:tcW w:w="9628" w:type="dxa"/>
            <w:shd w:val="clear" w:color="auto" w:fill="73908F" w:themeFill="accent6"/>
          </w:tcPr>
          <w:p w14:paraId="78D3CB29" w14:textId="77777777" w:rsidR="003C6952" w:rsidRPr="00F42EC1" w:rsidRDefault="003C6952" w:rsidP="00293A60">
            <w:pPr>
              <w:spacing w:after="0"/>
              <w:jc w:val="center"/>
              <w:rPr>
                <w:color w:val="FFFFFF" w:themeColor="background1"/>
                <w:sz w:val="20"/>
                <w:szCs w:val="20"/>
              </w:rPr>
            </w:pPr>
            <w:r w:rsidRPr="00F42EC1">
              <w:rPr>
                <w:color w:val="FFFFFF" w:themeColor="background1"/>
                <w:sz w:val="20"/>
                <w:szCs w:val="20"/>
              </w:rPr>
              <w:t>This case study was developed based on the work of</w:t>
            </w:r>
          </w:p>
        </w:tc>
      </w:tr>
      <w:tr w:rsidR="003C6952" w14:paraId="0EB41D18" w14:textId="77777777" w:rsidTr="00794DF4">
        <w:tc>
          <w:tcPr>
            <w:tcW w:w="9628" w:type="dxa"/>
            <w:shd w:val="clear" w:color="auto" w:fill="E2E8E8" w:themeFill="accent6" w:themeFillTint="33"/>
          </w:tcPr>
          <w:p w14:paraId="77B25001" w14:textId="06F86C99" w:rsidR="003C6952" w:rsidRPr="000313BF" w:rsidRDefault="00756BF9" w:rsidP="00293A60">
            <w:pPr>
              <w:spacing w:after="0"/>
              <w:jc w:val="center"/>
              <w:rPr>
                <w:i/>
                <w:iCs/>
                <w:sz w:val="20"/>
                <w:szCs w:val="20"/>
              </w:rPr>
            </w:pPr>
            <w:r w:rsidRPr="00756BF9">
              <w:rPr>
                <w:i/>
                <w:iCs/>
                <w:sz w:val="20"/>
                <w:szCs w:val="20"/>
              </w:rPr>
              <w:t xml:space="preserve">A people-centred approach through Self-Management and Reciprocal learning for the prevention and management of Type 2 Diabetes </w:t>
            </w:r>
            <w:r w:rsidR="00562062" w:rsidRPr="00562062">
              <w:rPr>
                <w:i/>
                <w:iCs/>
                <w:sz w:val="20"/>
                <w:szCs w:val="20"/>
              </w:rPr>
              <w:t>(</w:t>
            </w:r>
            <w:r>
              <w:rPr>
                <w:i/>
                <w:iCs/>
                <w:sz w:val="20"/>
                <w:szCs w:val="20"/>
              </w:rPr>
              <w:t>SMART2D</w:t>
            </w:r>
            <w:r w:rsidR="00562062" w:rsidRPr="00562062">
              <w:rPr>
                <w:i/>
                <w:iCs/>
                <w:sz w:val="20"/>
                <w:szCs w:val="20"/>
              </w:rPr>
              <w:t>) study</w:t>
            </w:r>
          </w:p>
        </w:tc>
      </w:tr>
    </w:tbl>
    <w:p w14:paraId="2ECCD665" w14:textId="77777777" w:rsidR="003C6952" w:rsidRDefault="003C6952" w:rsidP="00293A60">
      <w:pPr>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C6952" w:rsidRPr="00F42EC1" w14:paraId="3CC27962" w14:textId="77777777" w:rsidTr="00794DF4">
        <w:tc>
          <w:tcPr>
            <w:tcW w:w="9628" w:type="dxa"/>
            <w:shd w:val="clear" w:color="auto" w:fill="73908F" w:themeFill="accent6"/>
          </w:tcPr>
          <w:p w14:paraId="0349AEC5" w14:textId="77777777" w:rsidR="003C6952" w:rsidRPr="00F42EC1" w:rsidRDefault="003C6952" w:rsidP="00293A60">
            <w:pPr>
              <w:spacing w:after="0"/>
              <w:jc w:val="center"/>
              <w:rPr>
                <w:color w:val="FFFFFF" w:themeColor="background1"/>
                <w:sz w:val="20"/>
                <w:szCs w:val="20"/>
              </w:rPr>
            </w:pPr>
            <w:r w:rsidRPr="00F42EC1">
              <w:rPr>
                <w:color w:val="FFFFFF" w:themeColor="background1"/>
                <w:sz w:val="20"/>
                <w:szCs w:val="20"/>
              </w:rPr>
              <w:t>Project team members</w:t>
            </w:r>
          </w:p>
        </w:tc>
      </w:tr>
      <w:tr w:rsidR="003C6952" w14:paraId="18A3076E" w14:textId="77777777" w:rsidTr="00794DF4">
        <w:tc>
          <w:tcPr>
            <w:tcW w:w="9628" w:type="dxa"/>
            <w:shd w:val="clear" w:color="auto" w:fill="E2E8E8" w:themeFill="accent6" w:themeFillTint="33"/>
          </w:tcPr>
          <w:p w14:paraId="0BB778D4" w14:textId="4BC5AAEF" w:rsidR="003C6952" w:rsidRPr="000313BF" w:rsidRDefault="00CD62E1" w:rsidP="00293A60">
            <w:pPr>
              <w:shd w:val="clear" w:color="auto" w:fill="E2E8E8" w:themeFill="accent6" w:themeFillTint="33"/>
              <w:spacing w:after="0"/>
              <w:jc w:val="center"/>
              <w:rPr>
                <w:i/>
                <w:iCs/>
                <w:sz w:val="20"/>
                <w:szCs w:val="20"/>
              </w:rPr>
            </w:pPr>
            <w:r w:rsidRPr="00CD62E1">
              <w:rPr>
                <w:i/>
                <w:iCs/>
                <w:sz w:val="20"/>
                <w:szCs w:val="20"/>
              </w:rPr>
              <w:t xml:space="preserve">David </w:t>
            </w:r>
            <w:proofErr w:type="spellStart"/>
            <w:r w:rsidRPr="00CD62E1">
              <w:rPr>
                <w:i/>
                <w:iCs/>
                <w:sz w:val="20"/>
                <w:szCs w:val="20"/>
              </w:rPr>
              <w:t>Guwatudde</w:t>
            </w:r>
            <w:proofErr w:type="spellEnd"/>
            <w:r w:rsidRPr="00CD62E1">
              <w:rPr>
                <w:i/>
                <w:iCs/>
                <w:sz w:val="20"/>
                <w:szCs w:val="20"/>
              </w:rPr>
              <w:t xml:space="preserve">, </w:t>
            </w:r>
            <w:proofErr w:type="spellStart"/>
            <w:r w:rsidRPr="00CD62E1">
              <w:rPr>
                <w:i/>
                <w:iCs/>
                <w:sz w:val="20"/>
                <w:szCs w:val="20"/>
              </w:rPr>
              <w:t>Pilvikki</w:t>
            </w:r>
            <w:proofErr w:type="spellEnd"/>
            <w:r w:rsidRPr="00CD62E1">
              <w:rPr>
                <w:i/>
                <w:iCs/>
                <w:sz w:val="20"/>
                <w:szCs w:val="20"/>
              </w:rPr>
              <w:t xml:space="preserve"> </w:t>
            </w:r>
            <w:proofErr w:type="spellStart"/>
            <w:r w:rsidRPr="00CD62E1">
              <w:rPr>
                <w:i/>
                <w:iCs/>
                <w:sz w:val="20"/>
                <w:szCs w:val="20"/>
              </w:rPr>
              <w:t>Absetz</w:t>
            </w:r>
            <w:proofErr w:type="spellEnd"/>
            <w:r w:rsidRPr="00CD62E1">
              <w:rPr>
                <w:i/>
                <w:iCs/>
                <w:sz w:val="20"/>
                <w:szCs w:val="20"/>
              </w:rPr>
              <w:t xml:space="preserve">, Peter </w:t>
            </w:r>
            <w:proofErr w:type="spellStart"/>
            <w:r w:rsidRPr="00CD62E1">
              <w:rPr>
                <w:i/>
                <w:iCs/>
                <w:sz w:val="20"/>
                <w:szCs w:val="20"/>
              </w:rPr>
              <w:t>Delobelle</w:t>
            </w:r>
            <w:proofErr w:type="spellEnd"/>
            <w:r w:rsidRPr="00CD62E1">
              <w:rPr>
                <w:i/>
                <w:iCs/>
                <w:sz w:val="20"/>
                <w:szCs w:val="20"/>
              </w:rPr>
              <w:t xml:space="preserve">, Claes-Göran Östenson, Josefien Van </w:t>
            </w:r>
            <w:proofErr w:type="spellStart"/>
            <w:r w:rsidRPr="00CD62E1">
              <w:rPr>
                <w:i/>
                <w:iCs/>
                <w:sz w:val="20"/>
                <w:szCs w:val="20"/>
              </w:rPr>
              <w:t>Olmen</w:t>
            </w:r>
            <w:proofErr w:type="spellEnd"/>
            <w:r w:rsidRPr="00CD62E1">
              <w:rPr>
                <w:i/>
                <w:iCs/>
                <w:sz w:val="20"/>
                <w:szCs w:val="20"/>
              </w:rPr>
              <w:t xml:space="preserve">, Helle Molsted Alvesson, Roy William </w:t>
            </w:r>
            <w:proofErr w:type="spellStart"/>
            <w:r w:rsidRPr="00CD62E1">
              <w:rPr>
                <w:i/>
                <w:iCs/>
                <w:sz w:val="20"/>
                <w:szCs w:val="20"/>
              </w:rPr>
              <w:t>Mayega</w:t>
            </w:r>
            <w:proofErr w:type="spellEnd"/>
            <w:r w:rsidRPr="00CD62E1">
              <w:rPr>
                <w:i/>
                <w:iCs/>
                <w:sz w:val="20"/>
                <w:szCs w:val="20"/>
              </w:rPr>
              <w:t xml:space="preserve">, Elizabeth </w:t>
            </w:r>
            <w:proofErr w:type="spellStart"/>
            <w:r w:rsidRPr="00CD62E1">
              <w:rPr>
                <w:i/>
                <w:iCs/>
                <w:sz w:val="20"/>
                <w:szCs w:val="20"/>
              </w:rPr>
              <w:t>Ekirapa</w:t>
            </w:r>
            <w:proofErr w:type="spellEnd"/>
            <w:r w:rsidRPr="00CD62E1">
              <w:rPr>
                <w:i/>
                <w:iCs/>
                <w:sz w:val="20"/>
                <w:szCs w:val="20"/>
              </w:rPr>
              <w:t xml:space="preserve"> </w:t>
            </w:r>
            <w:proofErr w:type="spellStart"/>
            <w:r w:rsidRPr="00CD62E1">
              <w:rPr>
                <w:i/>
                <w:iCs/>
                <w:sz w:val="20"/>
                <w:szCs w:val="20"/>
              </w:rPr>
              <w:t>Kiracho</w:t>
            </w:r>
            <w:proofErr w:type="spellEnd"/>
            <w:r w:rsidRPr="00CD62E1">
              <w:rPr>
                <w:i/>
                <w:iCs/>
                <w:sz w:val="20"/>
                <w:szCs w:val="20"/>
              </w:rPr>
              <w:t xml:space="preserve">, Juliet </w:t>
            </w:r>
            <w:proofErr w:type="spellStart"/>
            <w:r w:rsidRPr="00CD62E1">
              <w:rPr>
                <w:i/>
                <w:iCs/>
                <w:sz w:val="20"/>
                <w:szCs w:val="20"/>
              </w:rPr>
              <w:t>Kiguli</w:t>
            </w:r>
            <w:proofErr w:type="spellEnd"/>
            <w:r w:rsidRPr="00CD62E1">
              <w:rPr>
                <w:i/>
                <w:iCs/>
                <w:sz w:val="20"/>
                <w:szCs w:val="20"/>
              </w:rPr>
              <w:t xml:space="preserve">, Carl Johan Sundberg, David Sanders, Göran Tomson, Thandi </w:t>
            </w:r>
            <w:proofErr w:type="spellStart"/>
            <w:r w:rsidRPr="00CD62E1">
              <w:rPr>
                <w:i/>
                <w:iCs/>
                <w:sz w:val="20"/>
                <w:szCs w:val="20"/>
              </w:rPr>
              <w:t>Puoane</w:t>
            </w:r>
            <w:proofErr w:type="spellEnd"/>
            <w:r w:rsidRPr="00CD62E1">
              <w:rPr>
                <w:i/>
                <w:iCs/>
                <w:sz w:val="20"/>
                <w:szCs w:val="20"/>
              </w:rPr>
              <w:t xml:space="preserve">, Stefan Peterson, Meena </w:t>
            </w:r>
            <w:proofErr w:type="spellStart"/>
            <w:r w:rsidRPr="00CD62E1">
              <w:rPr>
                <w:i/>
                <w:iCs/>
                <w:sz w:val="20"/>
                <w:szCs w:val="20"/>
              </w:rPr>
              <w:t>Daivadanam</w:t>
            </w:r>
            <w:proofErr w:type="spellEnd"/>
            <w:r w:rsidRPr="00CD62E1">
              <w:rPr>
                <w:i/>
                <w:iCs/>
                <w:sz w:val="20"/>
                <w:szCs w:val="20"/>
              </w:rPr>
              <w:t xml:space="preserve"> for the SMART2D Consortium</w:t>
            </w:r>
          </w:p>
        </w:tc>
      </w:tr>
    </w:tbl>
    <w:p w14:paraId="4160B318" w14:textId="77777777" w:rsidR="003C6952" w:rsidRPr="00650EAE" w:rsidRDefault="003C6952" w:rsidP="00B43603">
      <w:pPr>
        <w:jc w:val="both"/>
        <w:rPr>
          <w:sz w:val="20"/>
          <w:szCs w:val="20"/>
        </w:rPr>
      </w:pPr>
    </w:p>
    <w:tbl>
      <w:tblPr>
        <w:tblStyle w:val="TableGrid"/>
        <w:tblW w:w="9715" w:type="dxa"/>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shd w:val="clear" w:color="auto" w:fill="E2E8E8" w:themeFill="accent6" w:themeFillTint="33"/>
        <w:tblLook w:val="04A0" w:firstRow="1" w:lastRow="0" w:firstColumn="1" w:lastColumn="0" w:noHBand="0" w:noVBand="1"/>
      </w:tblPr>
      <w:tblGrid>
        <w:gridCol w:w="9854"/>
      </w:tblGrid>
      <w:tr w:rsidR="003C6952" w14:paraId="27071587" w14:textId="77777777" w:rsidTr="00794DF4">
        <w:trPr>
          <w:trHeight w:val="311"/>
        </w:trPr>
        <w:tc>
          <w:tcPr>
            <w:tcW w:w="9715" w:type="dxa"/>
            <w:shd w:val="clear" w:color="auto" w:fill="73908F" w:themeFill="accent6"/>
            <w:vAlign w:val="center"/>
          </w:tcPr>
          <w:p w14:paraId="35C37909" w14:textId="77777777" w:rsidR="003C6952" w:rsidRDefault="003C6952" w:rsidP="00B43603">
            <w:pPr>
              <w:spacing w:after="0"/>
              <w:jc w:val="both"/>
              <w:rPr>
                <w:noProof/>
                <w:lang w:eastAsia="en-AU"/>
              </w:rPr>
            </w:pPr>
          </w:p>
        </w:tc>
      </w:tr>
      <w:tr w:rsidR="003C6952" w14:paraId="67BD21F9" w14:textId="77777777" w:rsidTr="000313BF">
        <w:trPr>
          <w:trHeight w:val="5637"/>
        </w:trPr>
        <w:tc>
          <w:tcPr>
            <w:tcW w:w="9715" w:type="dxa"/>
            <w:shd w:val="clear" w:color="auto" w:fill="E2E8E8" w:themeFill="accent6" w:themeFillTint="33"/>
            <w:vAlign w:val="center"/>
          </w:tcPr>
          <w:p w14:paraId="55D1ABEA" w14:textId="693AC839" w:rsidR="003C6952" w:rsidRPr="00F8610A" w:rsidRDefault="00CD62E1" w:rsidP="00B43603">
            <w:pPr>
              <w:spacing w:after="0"/>
              <w:jc w:val="both"/>
              <w:rPr>
                <w:i/>
                <w:iCs/>
              </w:rPr>
            </w:pPr>
            <w:r w:rsidRPr="00CD62E1">
              <w:rPr>
                <w:i/>
                <w:iCs/>
                <w:noProof/>
              </w:rPr>
              <w:drawing>
                <wp:inline distT="0" distB="0" distL="0" distR="0" wp14:anchorId="0F201098" wp14:editId="5C29618C">
                  <wp:extent cx="6120130" cy="3376930"/>
                  <wp:effectExtent l="0" t="0" r="0" b="0"/>
                  <wp:docPr id="1748157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57770" name=""/>
                          <pic:cNvPicPr/>
                        </pic:nvPicPr>
                        <pic:blipFill>
                          <a:blip r:embed="rId10"/>
                          <a:stretch>
                            <a:fillRect/>
                          </a:stretch>
                        </pic:blipFill>
                        <pic:spPr>
                          <a:xfrm>
                            <a:off x="0" y="0"/>
                            <a:ext cx="6120130" cy="3376930"/>
                          </a:xfrm>
                          <a:prstGeom prst="rect">
                            <a:avLst/>
                          </a:prstGeom>
                        </pic:spPr>
                      </pic:pic>
                    </a:graphicData>
                  </a:graphic>
                </wp:inline>
              </w:drawing>
            </w:r>
          </w:p>
        </w:tc>
      </w:tr>
      <w:tr w:rsidR="003C6952" w14:paraId="23FEAE0C" w14:textId="77777777" w:rsidTr="00794DF4">
        <w:trPr>
          <w:trHeight w:val="287"/>
        </w:trPr>
        <w:tc>
          <w:tcPr>
            <w:tcW w:w="9715" w:type="dxa"/>
            <w:shd w:val="clear" w:color="auto" w:fill="E2E8E8" w:themeFill="accent6" w:themeFillTint="33"/>
            <w:vAlign w:val="center"/>
          </w:tcPr>
          <w:p w14:paraId="5DCD31DC" w14:textId="174DCBFF" w:rsidR="003C6952" w:rsidRPr="002B076F" w:rsidRDefault="00CD62E1" w:rsidP="00293A60">
            <w:pPr>
              <w:spacing w:after="0"/>
              <w:jc w:val="center"/>
              <w:rPr>
                <w:i/>
                <w:iCs/>
              </w:rPr>
            </w:pPr>
            <w:r>
              <w:rPr>
                <w:i/>
                <w:iCs/>
                <w:sz w:val="18"/>
                <w:szCs w:val="18"/>
              </w:rPr>
              <w:t>The SMART2D self-management framework</w:t>
            </w:r>
          </w:p>
        </w:tc>
      </w:tr>
    </w:tbl>
    <w:p w14:paraId="7D53462C" w14:textId="77777777" w:rsidR="006711C1" w:rsidRDefault="006711C1" w:rsidP="00B43603">
      <w:pPr>
        <w:jc w:val="both"/>
      </w:pPr>
    </w:p>
    <w:p w14:paraId="4C0AB23A" w14:textId="77777777" w:rsidR="00B43603" w:rsidRPr="00293A60" w:rsidRDefault="006711C1" w:rsidP="00293A60">
      <w:pPr>
        <w:pStyle w:val="GACD-Heading2"/>
      </w:pPr>
      <w:r>
        <w:br w:type="page"/>
      </w:r>
      <w:r w:rsidR="00B43603" w:rsidRPr="00293A60">
        <w:lastRenderedPageBreak/>
        <w:t>Case study summary</w:t>
      </w:r>
    </w:p>
    <w:p w14:paraId="68E2B23D" w14:textId="77777777" w:rsidR="00293A60" w:rsidRDefault="008A76C2" w:rsidP="00293A60">
      <w:pPr>
        <w:jc w:val="both"/>
      </w:pPr>
      <w:r w:rsidRPr="008A76C2">
        <w:t xml:space="preserve">The people-centred approach through Self-Management and Reciprocal learning for the prevention and management of Type 2 Diabetes </w:t>
      </w:r>
      <w:r>
        <w:t>(</w:t>
      </w:r>
      <w:r w:rsidRPr="008A76C2">
        <w:t>SMART2D</w:t>
      </w:r>
      <w:r>
        <w:t>)</w:t>
      </w:r>
      <w:r w:rsidRPr="008A76C2">
        <w:t xml:space="preserve"> project aimed to enhance Type 2 diabetes self-management across three diverse settings (Uganda, South Africa, and Sweden) using a reciprocal learning framework. This framework allowed for adaptations in community strategies like community mobili</w:t>
      </w:r>
      <w:r>
        <w:t>s</w:t>
      </w:r>
      <w:r w:rsidRPr="008A76C2">
        <w:t>ation and peer support, critical to transferring and scaling up interventions</w:t>
      </w:r>
      <w:r>
        <w:t>.</w:t>
      </w:r>
    </w:p>
    <w:p w14:paraId="779EAF80" w14:textId="7BED89B1" w:rsidR="00293A60" w:rsidRPr="00293A60" w:rsidRDefault="00293A60" w:rsidP="00293A60">
      <w:pPr>
        <w:pStyle w:val="GACD-Heading2"/>
      </w:pPr>
      <w:r>
        <w:rPr>
          <w:noProof/>
        </w:rPr>
        <w:drawing>
          <wp:anchor distT="0" distB="0" distL="114300" distR="114300" simplePos="0" relativeHeight="251676672" behindDoc="0" locked="0" layoutInCell="1" allowOverlap="1" wp14:anchorId="05EAE426" wp14:editId="3BF01BD9">
            <wp:simplePos x="0" y="0"/>
            <wp:positionH relativeFrom="column">
              <wp:posOffset>-60960</wp:posOffset>
            </wp:positionH>
            <wp:positionV relativeFrom="paragraph">
              <wp:posOffset>5080</wp:posOffset>
            </wp:positionV>
            <wp:extent cx="287655" cy="287655"/>
            <wp:effectExtent l="0" t="0" r="0" b="0"/>
            <wp:wrapSquare wrapText="bothSides"/>
            <wp:docPr id="12" name="Graphic 12"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agnifying glass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293A60">
        <w:t>Identification and characterisation of implementation issues</w:t>
      </w:r>
    </w:p>
    <w:p w14:paraId="147A5D35" w14:textId="430EA635" w:rsidR="00B92581" w:rsidRPr="00293A60" w:rsidRDefault="00B92581" w:rsidP="00293A60">
      <w:pPr>
        <w:jc w:val="both"/>
      </w:pPr>
      <w:r w:rsidRPr="00B92581">
        <w:t>In different settings, specific barriers to effective diabetes management were identified: limited healthcare capacity in Uganda, environmental impacts on lifestyle in South Africa, and challenges in service access for immigrants in Sweden. These issues guided the development of context-specific interventions, focusing on enhancing patient roles and strengthening community-health facility linkages​</w:t>
      </w:r>
      <w:r>
        <w:rPr>
          <w:b/>
        </w:rPr>
        <w:t>.</w:t>
      </w:r>
    </w:p>
    <w:p w14:paraId="3FBFCBE0" w14:textId="1F2503F0" w:rsidR="006711C1" w:rsidRDefault="00A704A2" w:rsidP="00B43603">
      <w:pPr>
        <w:pStyle w:val="Heading2"/>
        <w:jc w:val="both"/>
      </w:pPr>
      <w:r>
        <w:rPr>
          <w:noProof/>
        </w:rPr>
        <w:drawing>
          <wp:anchor distT="0" distB="0" distL="114300" distR="114300" simplePos="0" relativeHeight="251662336" behindDoc="0" locked="0" layoutInCell="1" allowOverlap="1" wp14:anchorId="5A439008" wp14:editId="2E48E79D">
            <wp:simplePos x="0" y="0"/>
            <wp:positionH relativeFrom="column">
              <wp:posOffset>-59574</wp:posOffset>
            </wp:positionH>
            <wp:positionV relativeFrom="paragraph">
              <wp:posOffset>3118</wp:posOffset>
            </wp:positionV>
            <wp:extent cx="287655" cy="287655"/>
            <wp:effectExtent l="0" t="0" r="0" b="0"/>
            <wp:wrapSquare wrapText="bothSides"/>
            <wp:docPr id="14" name="Graphic 14" descr="Bluepr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Blueprin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A704A2">
        <w:t xml:space="preserve">Selection, adaptation, and application of </w:t>
      </w:r>
      <w:hyperlink r:id="rId15" w:history="1">
        <w:r w:rsidRPr="00E45E7E">
          <w:rPr>
            <w:rStyle w:val="Hyperlink"/>
          </w:rPr>
          <w:t>implementation strategies</w:t>
        </w:r>
      </w:hyperlink>
    </w:p>
    <w:p w14:paraId="2A45DF59" w14:textId="110D2B32" w:rsidR="006711C1" w:rsidRDefault="00B92581" w:rsidP="00B43603">
      <w:pPr>
        <w:jc w:val="both"/>
        <w:rPr>
          <w:rFonts w:eastAsia="Calibri"/>
          <w:lang w:eastAsia="zh-CN"/>
        </w:rPr>
      </w:pPr>
      <w:r w:rsidRPr="00B92581">
        <w:rPr>
          <w:rFonts w:eastAsia="Calibri"/>
          <w:lang w:eastAsia="zh-CN"/>
        </w:rPr>
        <w:t>The intervention strategies were developed through a transdisciplinary framework that integrated evidence-based interventions with practical progress measures and participatory implementation processes. This strategic approach facilitated the adaptation of interventions like peer support groups and community health interventions, tailored to meet local needs while maintaining core objectives​</w:t>
      </w:r>
      <w:r w:rsidR="00756BF9">
        <w:rPr>
          <w:rFonts w:eastAsia="Calibri"/>
          <w:lang w:eastAsia="zh-CN"/>
        </w:rPr>
        <w:t>.</w:t>
      </w:r>
    </w:p>
    <w:p w14:paraId="559626E2" w14:textId="0658197A" w:rsidR="006711C1" w:rsidRDefault="00B92581" w:rsidP="00B43603">
      <w:pPr>
        <w:pStyle w:val="Heading2"/>
        <w:jc w:val="both"/>
      </w:pPr>
      <w:r w:rsidRPr="002A30D9">
        <w:rPr>
          <w:b w:val="0"/>
          <w:bCs/>
          <w:noProof/>
        </w:rPr>
        <w:drawing>
          <wp:anchor distT="0" distB="0" distL="114300" distR="114300" simplePos="0" relativeHeight="251664384" behindDoc="0" locked="0" layoutInCell="1" allowOverlap="1" wp14:anchorId="79ABE303" wp14:editId="28113E19">
            <wp:simplePos x="0" y="0"/>
            <wp:positionH relativeFrom="margin">
              <wp:posOffset>-91440</wp:posOffset>
            </wp:positionH>
            <wp:positionV relativeFrom="paragraph">
              <wp:posOffset>10795</wp:posOffset>
            </wp:positionV>
            <wp:extent cx="287655" cy="287655"/>
            <wp:effectExtent l="0" t="0" r="0" b="0"/>
            <wp:wrapSquare wrapText="bothSides"/>
            <wp:docPr id="15" name="Graphic 15"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Cycle with people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550D15">
        <w:t xml:space="preserve">Development and delivery of the </w:t>
      </w:r>
      <w:hyperlink r:id="rId18" w:history="1">
        <w:r w:rsidR="00550D15" w:rsidRPr="00E45E7E">
          <w:rPr>
            <w:rStyle w:val="Hyperlink"/>
          </w:rPr>
          <w:t>s</w:t>
        </w:r>
        <w:r w:rsidR="006711C1" w:rsidRPr="00E45E7E">
          <w:rPr>
            <w:rStyle w:val="Hyperlink"/>
          </w:rPr>
          <w:t>takeholder engagement strategy</w:t>
        </w:r>
      </w:hyperlink>
    </w:p>
    <w:p w14:paraId="4B03B0FA" w14:textId="413ED07D" w:rsidR="006711C1" w:rsidRPr="00AB5B73" w:rsidRDefault="00B43603" w:rsidP="00B43603">
      <w:pPr>
        <w:jc w:val="both"/>
        <w:rPr>
          <w:rFonts w:eastAsia="Calibri"/>
          <w:lang w:eastAsia="zh-CN"/>
        </w:rPr>
      </w:pPr>
      <w:r w:rsidRPr="00AB5B73">
        <w:rPr>
          <w:rFonts w:eastAsia="Calibri"/>
          <w:noProof/>
          <w:lang w:eastAsia="zh-CN"/>
        </w:rPr>
        <w:drawing>
          <wp:anchor distT="0" distB="0" distL="114300" distR="114300" simplePos="0" relativeHeight="251666432" behindDoc="0" locked="0" layoutInCell="1" allowOverlap="1" wp14:anchorId="51C327D1" wp14:editId="50D4B329">
            <wp:simplePos x="0" y="0"/>
            <wp:positionH relativeFrom="margin">
              <wp:posOffset>-68580</wp:posOffset>
            </wp:positionH>
            <wp:positionV relativeFrom="paragraph">
              <wp:posOffset>831215</wp:posOffset>
            </wp:positionV>
            <wp:extent cx="287655" cy="287655"/>
            <wp:effectExtent l="0" t="0" r="0" b="0"/>
            <wp:wrapSquare wrapText="bothSides"/>
            <wp:docPr id="16" name="Graphic 16"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ales of justice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B92581" w:rsidRPr="00B92581">
        <w:rPr>
          <w:rFonts w:eastAsia="Calibri"/>
          <w:lang w:eastAsia="zh-CN"/>
        </w:rPr>
        <w:t>Stakeholder engagement was integral, involving continuous interaction with local communities, health workers, and government bodies. This approach ensured that interventions were culturally sensitive and appropriately integrated into existing healthcare frameworks, thereby maximizing local buy-in and sustainability</w:t>
      </w:r>
      <w:r w:rsidR="00756BF9">
        <w:rPr>
          <w:rFonts w:eastAsia="Calibri"/>
          <w:lang w:eastAsia="zh-CN"/>
        </w:rPr>
        <w:t>.</w:t>
      </w:r>
    </w:p>
    <w:p w14:paraId="4BA303FF" w14:textId="265DBA8D" w:rsidR="006711C1" w:rsidRPr="00AB5B73" w:rsidRDefault="006711C1" w:rsidP="00B43603">
      <w:pPr>
        <w:pStyle w:val="Heading2"/>
        <w:jc w:val="both"/>
      </w:pPr>
      <w:hyperlink r:id="rId21" w:history="1">
        <w:r w:rsidRPr="00E45E7E">
          <w:rPr>
            <w:rStyle w:val="Hyperlink"/>
          </w:rPr>
          <w:t>Evaluati</w:t>
        </w:r>
        <w:r w:rsidR="00550D15" w:rsidRPr="00E45E7E">
          <w:rPr>
            <w:rStyle w:val="Hyperlink"/>
          </w:rPr>
          <w:t>ng implementation</w:t>
        </w:r>
      </w:hyperlink>
    </w:p>
    <w:p w14:paraId="0901335A" w14:textId="05ED1292" w:rsidR="006711C1" w:rsidRPr="00B92581" w:rsidRDefault="00B92581" w:rsidP="00B43603">
      <w:pPr>
        <w:jc w:val="both"/>
        <w:rPr>
          <w:rFonts w:eastAsia="Calibri"/>
          <w:lang w:eastAsia="zh-CN"/>
        </w:rPr>
      </w:pPr>
      <w:r w:rsidRPr="00B92581">
        <w:rPr>
          <w:rFonts w:eastAsia="Calibri"/>
          <w:lang w:eastAsia="zh-CN"/>
        </w:rPr>
        <w:t>The interventions were evaluated using a mix of quantitative and qualitative methods to assess both the process and the outcomes. This included monitoring intervention fidelity, participant engagement, and the impact on diabetes management, which revealed significant improvements in self-management among the target populations​</w:t>
      </w:r>
      <w:r>
        <w:rPr>
          <w:rFonts w:eastAsia="Calibri"/>
          <w:lang w:eastAsia="zh-CN"/>
        </w:rPr>
        <w:t>.</w:t>
      </w:r>
    </w:p>
    <w:p w14:paraId="0E1BB3CD" w14:textId="7E9C8961" w:rsidR="006711C1" w:rsidRDefault="00A704A2" w:rsidP="00B43603">
      <w:pPr>
        <w:pStyle w:val="Heading2"/>
        <w:jc w:val="both"/>
      </w:pPr>
      <w:r>
        <w:rPr>
          <w:noProof/>
        </w:rPr>
        <w:drawing>
          <wp:anchor distT="0" distB="0" distL="114300" distR="114300" simplePos="0" relativeHeight="251668480" behindDoc="0" locked="0" layoutInCell="1" allowOverlap="1" wp14:anchorId="27E9EC86" wp14:editId="75DDA1E1">
            <wp:simplePos x="0" y="0"/>
            <wp:positionH relativeFrom="margin">
              <wp:posOffset>-76200</wp:posOffset>
            </wp:positionH>
            <wp:positionV relativeFrom="paragraph">
              <wp:posOffset>29845</wp:posOffset>
            </wp:positionV>
            <wp:extent cx="287655" cy="287655"/>
            <wp:effectExtent l="0" t="0" r="0" b="0"/>
            <wp:wrapSquare wrapText="bothSides"/>
            <wp:docPr id="17" name="Graphic 17" descr="Bar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Bar chart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Results and key findings</w:t>
      </w:r>
    </w:p>
    <w:p w14:paraId="3CE1B205" w14:textId="37F9C3E3" w:rsidR="006711C1" w:rsidRPr="00B92581" w:rsidRDefault="00B92581" w:rsidP="00B43603">
      <w:pPr>
        <w:jc w:val="both"/>
        <w:rPr>
          <w:rFonts w:eastAsia="Calibri"/>
          <w:lang w:eastAsia="zh-CN"/>
        </w:rPr>
      </w:pPr>
      <w:r w:rsidRPr="00B92581">
        <w:rPr>
          <w:rFonts w:eastAsia="Calibri"/>
          <w:lang w:eastAsia="zh-CN"/>
        </w:rPr>
        <w:t>The project highlighted the effectiveness of community-linked models of care and peer support programs, significantly improving diabetes self-management. The findings emphasized the importance of contextually adapted interventions and the benefits of a strong focus on community engagement and education.</w:t>
      </w:r>
    </w:p>
    <w:p w14:paraId="39772CF4" w14:textId="3D75D78E" w:rsidR="006711C1" w:rsidRDefault="00A704A2" w:rsidP="00B43603">
      <w:pPr>
        <w:pStyle w:val="Heading2"/>
        <w:jc w:val="both"/>
      </w:pPr>
      <w:r>
        <w:rPr>
          <w:noProof/>
        </w:rPr>
        <w:drawing>
          <wp:anchor distT="0" distB="0" distL="114300" distR="114300" simplePos="0" relativeHeight="251670528" behindDoc="0" locked="0" layoutInCell="1" allowOverlap="1" wp14:anchorId="6FA1A198" wp14:editId="5F819323">
            <wp:simplePos x="0" y="0"/>
            <wp:positionH relativeFrom="column">
              <wp:posOffset>-38389</wp:posOffset>
            </wp:positionH>
            <wp:positionV relativeFrom="paragraph">
              <wp:posOffset>577</wp:posOffset>
            </wp:positionV>
            <wp:extent cx="287655" cy="287655"/>
            <wp:effectExtent l="0" t="0" r="0" b="0"/>
            <wp:wrapSquare wrapText="bothSides"/>
            <wp:docPr id="18" name="Graphic 18"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Clipboard Mixed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Strengths and limitations</w:t>
      </w:r>
    </w:p>
    <w:p w14:paraId="378C3A0D" w14:textId="6C85515A" w:rsidR="006711C1" w:rsidRPr="00B92581" w:rsidRDefault="00B92581" w:rsidP="00B43603">
      <w:pPr>
        <w:jc w:val="both"/>
        <w:rPr>
          <w:rFonts w:eastAsia="Calibri"/>
          <w:lang w:eastAsia="zh-CN"/>
        </w:rPr>
      </w:pPr>
      <w:r w:rsidRPr="00B92581">
        <w:rPr>
          <w:rFonts w:eastAsia="Calibri"/>
          <w:lang w:eastAsia="zh-CN"/>
        </w:rPr>
        <w:t>A major strength was the project's ability to foster robust local and international collaborations, which enhanced the intervention's impact. However, a significant limitation was the variability in intervention implementation across sites, influenced by local contexts and available resources, which sometimes led to inconsistencies in delivery and outcomes</w:t>
      </w:r>
      <w:r>
        <w:rPr>
          <w:rFonts w:eastAsia="Calibri"/>
          <w:lang w:eastAsia="zh-CN"/>
        </w:rPr>
        <w:t>.</w:t>
      </w:r>
    </w:p>
    <w:p w14:paraId="199BC6E3" w14:textId="32FBFDAA" w:rsidR="006711C1" w:rsidRDefault="00B92581" w:rsidP="00B43603">
      <w:pPr>
        <w:pStyle w:val="Heading2"/>
        <w:jc w:val="both"/>
      </w:pPr>
      <w:r w:rsidRPr="002A30D9">
        <w:rPr>
          <w:b w:val="0"/>
          <w:bCs/>
          <w:noProof/>
        </w:rPr>
        <w:lastRenderedPageBreak/>
        <w:drawing>
          <wp:anchor distT="0" distB="0" distL="114300" distR="114300" simplePos="0" relativeHeight="251672576" behindDoc="0" locked="0" layoutInCell="1" allowOverlap="1" wp14:anchorId="7D8568FC" wp14:editId="652B2D65">
            <wp:simplePos x="0" y="0"/>
            <wp:positionH relativeFrom="leftMargin">
              <wp:posOffset>720090</wp:posOffset>
            </wp:positionH>
            <wp:positionV relativeFrom="paragraph">
              <wp:posOffset>0</wp:posOffset>
            </wp:positionV>
            <wp:extent cx="287655" cy="287655"/>
            <wp:effectExtent l="0" t="0" r="0" b="0"/>
            <wp:wrapSquare wrapText="bothSides"/>
            <wp:docPr id="19" name="Graphic 19" descr="Mountai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ountains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Success factors and challenges</w:t>
      </w:r>
    </w:p>
    <w:p w14:paraId="2A9719A9" w14:textId="2518F13A" w:rsidR="006711C1" w:rsidRPr="00B92581" w:rsidRDefault="00B92581" w:rsidP="00B43603">
      <w:pPr>
        <w:jc w:val="both"/>
        <w:rPr>
          <w:rFonts w:eastAsia="Calibri"/>
          <w:lang w:eastAsia="zh-CN"/>
        </w:rPr>
      </w:pPr>
      <w:r w:rsidRPr="00B92581">
        <w:rPr>
          <w:rFonts w:eastAsia="Calibri"/>
          <w:lang w:eastAsia="zh-CN"/>
        </w:rPr>
        <w:t>Key success factors included the adaptability of interventions to local contexts, effective stakeholder engagement, and strong leadership. Challenges were primarily related to maintaining consistency and meeting the diverse needs of each setting without diluting the effectiveness of the core intervention strategies</w:t>
      </w:r>
      <w:r>
        <w:rPr>
          <w:rFonts w:eastAsia="Calibri"/>
          <w:lang w:eastAsia="zh-CN"/>
        </w:rPr>
        <w:t>.</w:t>
      </w:r>
      <w:r w:rsidRPr="00B92581">
        <w:rPr>
          <w:rFonts w:eastAsia="Calibri"/>
          <w:lang w:eastAsia="zh-CN"/>
        </w:rPr>
        <w:t xml:space="preserve">​ </w:t>
      </w:r>
    </w:p>
    <w:p w14:paraId="4A3FABE0" w14:textId="5920CD0D" w:rsidR="006711C1" w:rsidRPr="00A704A2" w:rsidRDefault="00A704A2" w:rsidP="00B43603">
      <w:pPr>
        <w:pStyle w:val="Heading2"/>
        <w:jc w:val="both"/>
      </w:pPr>
      <w:r>
        <w:rPr>
          <w:noProof/>
        </w:rPr>
        <w:drawing>
          <wp:anchor distT="0" distB="0" distL="114300" distR="114300" simplePos="0" relativeHeight="251674624" behindDoc="0" locked="0" layoutInCell="1" allowOverlap="1" wp14:anchorId="79E9FDC5" wp14:editId="46DEB73E">
            <wp:simplePos x="0" y="0"/>
            <wp:positionH relativeFrom="column">
              <wp:posOffset>3175</wp:posOffset>
            </wp:positionH>
            <wp:positionV relativeFrom="paragraph">
              <wp:posOffset>21590</wp:posOffset>
            </wp:positionV>
            <wp:extent cx="287655" cy="287655"/>
            <wp:effectExtent l="0" t="0" r="0" b="0"/>
            <wp:wrapSquare wrapText="bothSides"/>
            <wp:docPr id="20" name="Graphic 20" descr="Footprint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Footprints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Next steps</w:t>
      </w:r>
    </w:p>
    <w:p w14:paraId="49C6C853" w14:textId="307BE586" w:rsidR="00B92581" w:rsidRPr="00B92581" w:rsidRDefault="00B92581" w:rsidP="00B43603">
      <w:pPr>
        <w:jc w:val="both"/>
      </w:pPr>
      <w:r w:rsidRPr="00B92581">
        <w:t>For future projects, it is recommended to enhance strategies for engaging stakeholders and to continuously adapt interventions based on ongoing feedback and changing local conditions. Additionally, securing ongoing funding and government support remains crucial for the sustainability of such interventions.</w:t>
      </w:r>
    </w:p>
    <w:p w14:paraId="2B7B54B8" w14:textId="7789D3FA" w:rsidR="002F3171" w:rsidRDefault="002F3171" w:rsidP="00B43603">
      <w:pPr>
        <w:pStyle w:val="Heading2"/>
        <w:jc w:val="both"/>
      </w:pPr>
      <w:r>
        <w:t>References</w:t>
      </w:r>
    </w:p>
    <w:p w14:paraId="164B7722" w14:textId="67D434AC" w:rsidR="00293A60" w:rsidRDefault="00293A60" w:rsidP="00293A60">
      <w:pPr>
        <w:spacing w:after="120" w:line="240" w:lineRule="auto"/>
        <w:jc w:val="both"/>
      </w:pPr>
      <w:proofErr w:type="spellStart"/>
      <w:r>
        <w:t>Guwatudde</w:t>
      </w:r>
      <w:proofErr w:type="spellEnd"/>
      <w:r>
        <w:t xml:space="preserve"> D, </w:t>
      </w:r>
      <w:proofErr w:type="spellStart"/>
      <w:r>
        <w:t>Delobelle</w:t>
      </w:r>
      <w:proofErr w:type="spellEnd"/>
      <w:r>
        <w:t xml:space="preserve"> P, </w:t>
      </w:r>
      <w:proofErr w:type="spellStart"/>
      <w:r>
        <w:t>Absetz</w:t>
      </w:r>
      <w:proofErr w:type="spellEnd"/>
      <w:r>
        <w:t xml:space="preserve"> P, Van JO, </w:t>
      </w:r>
      <w:proofErr w:type="spellStart"/>
      <w:r>
        <w:t>Mayega</w:t>
      </w:r>
      <w:proofErr w:type="spellEnd"/>
      <w:r>
        <w:t xml:space="preserve"> RW, Kasujja FX, et al. Prevention and management of type 2 diabetes mellitus in Uganda and South Africa: Findings from the SMART2D pragmatic implementation trial. PLOS Global Public Health. 2022;2(5</w:t>
      </w:r>
      <w:proofErr w:type="gramStart"/>
      <w:r>
        <w:t>):e</w:t>
      </w:r>
      <w:proofErr w:type="gramEnd"/>
      <w:r>
        <w:t>0000425.</w:t>
      </w:r>
    </w:p>
    <w:p w14:paraId="68260AF2" w14:textId="226282E6" w:rsidR="00293A60" w:rsidRDefault="00293A60" w:rsidP="00293A60">
      <w:pPr>
        <w:spacing w:after="120" w:line="240" w:lineRule="auto"/>
        <w:jc w:val="both"/>
      </w:pPr>
      <w:r>
        <w:t xml:space="preserve">van </w:t>
      </w:r>
      <w:proofErr w:type="spellStart"/>
      <w:r>
        <w:t>Olmen</w:t>
      </w:r>
      <w:proofErr w:type="spellEnd"/>
      <w:r>
        <w:t xml:space="preserve"> J, </w:t>
      </w:r>
      <w:proofErr w:type="spellStart"/>
      <w:r>
        <w:t>Absetz</w:t>
      </w:r>
      <w:proofErr w:type="spellEnd"/>
      <w:r>
        <w:t xml:space="preserve"> P, </w:t>
      </w:r>
      <w:proofErr w:type="spellStart"/>
      <w:r>
        <w:t>Mayega</w:t>
      </w:r>
      <w:proofErr w:type="spellEnd"/>
      <w:r>
        <w:t xml:space="preserve"> RW, Timm L, </w:t>
      </w:r>
      <w:proofErr w:type="spellStart"/>
      <w:r>
        <w:t>Delobelle</w:t>
      </w:r>
      <w:proofErr w:type="spellEnd"/>
      <w:r>
        <w:t xml:space="preserve"> P, Alvesson HM, et al. Process evaluation of a pragmatic implementation trial to support self-management for the prevention and management of type 2 diabetes in Uganda, South Africa and Sweden in the SMART2D project. BMJ open diabetes research &amp; care. 2022;10(5).</w:t>
      </w:r>
    </w:p>
    <w:p w14:paraId="167EDD94" w14:textId="108DFE6F" w:rsidR="00293A60" w:rsidRDefault="00293A60" w:rsidP="00293A60">
      <w:pPr>
        <w:spacing w:after="120" w:line="240" w:lineRule="auto"/>
        <w:jc w:val="both"/>
      </w:pPr>
      <w:proofErr w:type="spellStart"/>
      <w:r>
        <w:t>Absetz</w:t>
      </w:r>
      <w:proofErr w:type="spellEnd"/>
      <w:r>
        <w:t xml:space="preserve"> P, Van </w:t>
      </w:r>
      <w:proofErr w:type="spellStart"/>
      <w:r>
        <w:t>Olmen</w:t>
      </w:r>
      <w:proofErr w:type="spellEnd"/>
      <w:r>
        <w:t xml:space="preserve"> J, </w:t>
      </w:r>
      <w:proofErr w:type="spellStart"/>
      <w:r>
        <w:t>Guwatudde</w:t>
      </w:r>
      <w:proofErr w:type="spellEnd"/>
      <w:r>
        <w:t xml:space="preserve"> D, </w:t>
      </w:r>
      <w:proofErr w:type="spellStart"/>
      <w:r>
        <w:t>Puoane</w:t>
      </w:r>
      <w:proofErr w:type="spellEnd"/>
      <w:r>
        <w:t xml:space="preserve"> T, Alvesson HM, </w:t>
      </w:r>
      <w:proofErr w:type="spellStart"/>
      <w:r>
        <w:t>Delobelle</w:t>
      </w:r>
      <w:proofErr w:type="spellEnd"/>
      <w:r>
        <w:t xml:space="preserve"> P, et al. SMART2D-development and contextualization of community strategies to support self-management in prevention and control of type 2 diabetes in Uganda, South Africa, and Sweden. Translational </w:t>
      </w:r>
      <w:proofErr w:type="spellStart"/>
      <w:r>
        <w:t>behavioral</w:t>
      </w:r>
      <w:proofErr w:type="spellEnd"/>
      <w:r>
        <w:t xml:space="preserve"> medicine. 2020;10(1):25-34.</w:t>
      </w:r>
    </w:p>
    <w:p w14:paraId="1C072D51" w14:textId="671F2A4B" w:rsidR="00293A60" w:rsidRDefault="00293A60" w:rsidP="00293A60">
      <w:pPr>
        <w:spacing w:after="120" w:line="240" w:lineRule="auto"/>
        <w:jc w:val="both"/>
      </w:pPr>
      <w:r>
        <w:t xml:space="preserve">David G, </w:t>
      </w:r>
      <w:proofErr w:type="spellStart"/>
      <w:r>
        <w:t>Pilvikki</w:t>
      </w:r>
      <w:proofErr w:type="spellEnd"/>
      <w:r>
        <w:t xml:space="preserve"> A, Peter D, Claes-Göran Ö, Josefien </w:t>
      </w:r>
      <w:proofErr w:type="spellStart"/>
      <w:r>
        <w:t>Olmen</w:t>
      </w:r>
      <w:proofErr w:type="spellEnd"/>
      <w:r>
        <w:t xml:space="preserve"> V, Helle Molsted A, et al. Study protocol for the SMART2D adaptive implementation trial: a cluster randomised trial comparing facility-only care with integrated facility and community care to improve type 2 diabetes outcomes in Uganda, South Africa and Sweden. BMJ Open. 2018;8(3</w:t>
      </w:r>
      <w:proofErr w:type="gramStart"/>
      <w:r>
        <w:t>):e</w:t>
      </w:r>
      <w:proofErr w:type="gramEnd"/>
      <w:r>
        <w:t>019981.</w:t>
      </w:r>
    </w:p>
    <w:p w14:paraId="5A6238E4" w14:textId="3040C62D" w:rsidR="00293A60" w:rsidRDefault="00293A60" w:rsidP="00293A60">
      <w:pPr>
        <w:spacing w:after="120" w:line="240" w:lineRule="auto"/>
        <w:jc w:val="both"/>
      </w:pPr>
      <w:r>
        <w:t xml:space="preserve">De Man J, </w:t>
      </w:r>
      <w:proofErr w:type="spellStart"/>
      <w:r>
        <w:t>Aweko</w:t>
      </w:r>
      <w:proofErr w:type="spellEnd"/>
      <w:r>
        <w:t xml:space="preserve"> J, </w:t>
      </w:r>
      <w:proofErr w:type="spellStart"/>
      <w:r>
        <w:t>Daivadanam</w:t>
      </w:r>
      <w:proofErr w:type="spellEnd"/>
      <w:r>
        <w:t xml:space="preserve"> M, Alvesson HM, </w:t>
      </w:r>
      <w:proofErr w:type="spellStart"/>
      <w:r>
        <w:t>Delobelle</w:t>
      </w:r>
      <w:proofErr w:type="spellEnd"/>
      <w:r>
        <w:t xml:space="preserve"> P, </w:t>
      </w:r>
      <w:proofErr w:type="spellStart"/>
      <w:r>
        <w:t>Mayega</w:t>
      </w:r>
      <w:proofErr w:type="spellEnd"/>
      <w:r>
        <w:t xml:space="preserve"> RW, et al. Diabetes self-management in three different income settings: Cross-learning of barriers and opportunities. </w:t>
      </w:r>
      <w:proofErr w:type="spellStart"/>
      <w:r>
        <w:t>PloS</w:t>
      </w:r>
      <w:proofErr w:type="spellEnd"/>
      <w:r>
        <w:t xml:space="preserve"> one. 2019;14(3</w:t>
      </w:r>
      <w:proofErr w:type="gramStart"/>
      <w:r>
        <w:t>):e</w:t>
      </w:r>
      <w:proofErr w:type="gramEnd"/>
      <w:r>
        <w:t>0213530.</w:t>
      </w:r>
    </w:p>
    <w:p w14:paraId="0850C7A6" w14:textId="05229316" w:rsidR="00641B60" w:rsidRPr="00641B60" w:rsidRDefault="00293A60" w:rsidP="00641B60">
      <w:pPr>
        <w:spacing w:after="120" w:line="240" w:lineRule="auto"/>
        <w:jc w:val="both"/>
      </w:pPr>
      <w:r>
        <w:t xml:space="preserve">van </w:t>
      </w:r>
      <w:proofErr w:type="spellStart"/>
      <w:r>
        <w:t>Olmen</w:t>
      </w:r>
      <w:proofErr w:type="spellEnd"/>
      <w:r>
        <w:t xml:space="preserve"> J, </w:t>
      </w:r>
      <w:proofErr w:type="spellStart"/>
      <w:r>
        <w:t>Delobelle</w:t>
      </w:r>
      <w:proofErr w:type="spellEnd"/>
      <w:r>
        <w:t xml:space="preserve"> P, </w:t>
      </w:r>
      <w:proofErr w:type="spellStart"/>
      <w:r>
        <w:t>Guwatudde</w:t>
      </w:r>
      <w:proofErr w:type="spellEnd"/>
      <w:r>
        <w:t xml:space="preserve"> D, </w:t>
      </w:r>
      <w:proofErr w:type="spellStart"/>
      <w:r>
        <w:t>Absetz</w:t>
      </w:r>
      <w:proofErr w:type="spellEnd"/>
      <w:r>
        <w:t xml:space="preserve"> P, Sanders D, </w:t>
      </w:r>
      <w:proofErr w:type="spellStart"/>
      <w:r>
        <w:t>Mölsted</w:t>
      </w:r>
      <w:proofErr w:type="spellEnd"/>
      <w:r>
        <w:t xml:space="preserve"> Alvesson H, et al. Using a cross-contextual reciprocal learning approach in a multisite implementation research project to improve self-management for type 2 diabetes. BMJ global health. 2018;3(6</w:t>
      </w:r>
      <w:proofErr w:type="gramStart"/>
      <w:r>
        <w:t>):e</w:t>
      </w:r>
      <w:proofErr w:type="gramEnd"/>
      <w:r>
        <w:t>001068.</w:t>
      </w:r>
    </w:p>
    <w:p w14:paraId="2F1CEEC7" w14:textId="007953BE" w:rsidR="00641B60" w:rsidRPr="00641B60" w:rsidRDefault="00641B60" w:rsidP="00641B60">
      <w:pPr>
        <w:rPr>
          <w:rFonts w:ascii="Calibri" w:eastAsia="Calibri" w:hAnsi="Calibri" w:cs="Calibri"/>
          <w:sz w:val="28"/>
          <w:szCs w:val="28"/>
        </w:rPr>
      </w:pPr>
      <w:r>
        <w:rPr>
          <w:noProof/>
        </w:rPr>
        <mc:AlternateContent>
          <mc:Choice Requires="wpg">
            <w:drawing>
              <wp:anchor distT="0" distB="0" distL="114300" distR="114300" simplePos="0" relativeHeight="251678720" behindDoc="1" locked="0" layoutInCell="1" allowOverlap="1" wp14:anchorId="44D965C8" wp14:editId="2F2324E8">
                <wp:simplePos x="0" y="0"/>
                <wp:positionH relativeFrom="page">
                  <wp:posOffset>1138506</wp:posOffset>
                </wp:positionH>
                <wp:positionV relativeFrom="page">
                  <wp:posOffset>8427672</wp:posOffset>
                </wp:positionV>
                <wp:extent cx="5753735" cy="0"/>
                <wp:effectExtent l="0" t="12700" r="12065" b="1270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0"/>
                          <a:chOff x="1743" y="9298"/>
                          <a:chExt cx="9061" cy="0"/>
                        </a:xfrm>
                      </wpg:grpSpPr>
                      <wps:wsp>
                        <wps:cNvPr id="117" name="Freeform 117"/>
                        <wps:cNvSpPr>
                          <a:spLocks/>
                        </wps:cNvSpPr>
                        <wps:spPr bwMode="auto">
                          <a:xfrm>
                            <a:off x="1743" y="9298"/>
                            <a:ext cx="9061" cy="0"/>
                          </a:xfrm>
                          <a:custGeom>
                            <a:avLst/>
                            <a:gdLst>
                              <a:gd name="T0" fmla="+- 0 1743 1743"/>
                              <a:gd name="T1" fmla="*/ T0 w 9061"/>
                              <a:gd name="T2" fmla="+- 0 10804 1743"/>
                              <a:gd name="T3" fmla="*/ T2 w 9061"/>
                            </a:gdLst>
                            <a:ahLst/>
                            <a:cxnLst>
                              <a:cxn ang="0">
                                <a:pos x="T1" y="0"/>
                              </a:cxn>
                              <a:cxn ang="0">
                                <a:pos x="T3" y="0"/>
                              </a:cxn>
                            </a:cxnLst>
                            <a:rect l="0" t="0" r="r" b="b"/>
                            <a:pathLst>
                              <a:path w="9061">
                                <a:moveTo>
                                  <a:pt x="0" y="0"/>
                                </a:moveTo>
                                <a:lnTo>
                                  <a:pt x="9061" y="0"/>
                                </a:lnTo>
                              </a:path>
                            </a:pathLst>
                          </a:custGeom>
                          <a:noFill/>
                          <a:ln w="29464">
                            <a:solidFill>
                              <a:srgbClr val="FF86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8D632" id="Group 116" o:spid="_x0000_s1026" style="position:absolute;margin-left:89.65pt;margin-top:663.6pt;width:453.05pt;height:0;z-index:-251637760;mso-position-horizontal-relative:page;mso-position-vertical-relative:page" coordorigin="1743,9298" coordsize="9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">
                <v:shape id="Freeform 117" o:spid="_x0000_s1027" style="position:absolute;left:1743;top:9298;width:9061;height:0;visibility:visible;mso-wrap-style:square;v-text-anchor:top" coordsize="9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" path="m,l9061,e" filled="f" strokecolor="#ff864f" strokeweight="2.32pt">
                  <v:path arrowok="t" o:connecttype="custom" o:connectlocs="0,0;9061,0" o:connectangles="0,0"/>
                </v:shape>
                <w10:wrap anchorx="page" anchory="page"/>
              </v:group>
            </w:pict>
          </mc:Fallback>
        </mc:AlternateContent>
      </w:r>
      <w:r>
        <w:rPr>
          <w:rFonts w:ascii="Calibri" w:eastAsia="Calibri" w:hAnsi="Calibri" w:cs="Calibri"/>
          <w:b/>
          <w:noProof/>
          <w:color w:val="73908F"/>
          <w:sz w:val="28"/>
          <w:szCs w:val="28"/>
        </w:rPr>
        <w:drawing>
          <wp:inline distT="0" distB="0" distL="0" distR="0" wp14:anchorId="627B4BA1" wp14:editId="19D5BDFD">
            <wp:extent cx="359508" cy="359508"/>
            <wp:effectExtent l="0" t="0" r="0" b="0"/>
            <wp:docPr id="115" name="Graphic 11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Graphic 115" descr="Presentation with checklist with solid fill"/>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59508" cy="359508"/>
                    </a:xfrm>
                    <a:prstGeom prst="rect">
                      <a:avLst/>
                    </a:prstGeom>
                  </pic:spPr>
                </pic:pic>
              </a:graphicData>
            </a:graphic>
          </wp:inline>
        </w:drawing>
      </w:r>
      <w:r>
        <w:rPr>
          <w:rFonts w:ascii="Calibri" w:eastAsia="Calibri" w:hAnsi="Calibri" w:cs="Calibri"/>
          <w:b/>
          <w:color w:val="73908F"/>
          <w:sz w:val="28"/>
          <w:szCs w:val="28"/>
        </w:rPr>
        <w:t xml:space="preserve">   Key learning objectives </w:t>
      </w:r>
    </w:p>
    <w:p w14:paraId="4ED9DD33" w14:textId="77777777" w:rsidR="00641B60" w:rsidRPr="00641B60" w:rsidRDefault="00641B60" w:rsidP="00641B60">
      <w:pPr>
        <w:pStyle w:val="ListParagraph"/>
        <w:numPr>
          <w:ilvl w:val="0"/>
          <w:numId w:val="15"/>
        </w:numPr>
        <w:spacing w:after="0" w:line="240" w:lineRule="auto"/>
        <w:rPr>
          <w:rFonts w:eastAsia="Times New Roman" w:cstheme="minorHAnsi"/>
          <w:lang w:eastAsia="ja-JP"/>
        </w:rPr>
      </w:pPr>
      <w:r w:rsidRPr="00641B60">
        <w:rPr>
          <w:rFonts w:eastAsia="Times New Roman" w:cstheme="minorHAnsi"/>
          <w:lang w:eastAsia="ja-JP"/>
        </w:rPr>
        <w:t>Understand the importance of identifying setting-specific barriers to diabetes management and tailoring interventions to address local challenges.</w:t>
      </w:r>
    </w:p>
    <w:p w14:paraId="1707D528" w14:textId="77777777" w:rsidR="00641B60" w:rsidRPr="00641B60" w:rsidRDefault="00641B60" w:rsidP="00641B60">
      <w:pPr>
        <w:pStyle w:val="ListParagraph"/>
        <w:numPr>
          <w:ilvl w:val="0"/>
          <w:numId w:val="15"/>
        </w:numPr>
        <w:spacing w:after="0" w:line="240" w:lineRule="auto"/>
        <w:rPr>
          <w:rFonts w:eastAsia="Times New Roman" w:cstheme="minorHAnsi"/>
          <w:lang w:eastAsia="ja-JP"/>
        </w:rPr>
      </w:pPr>
      <w:r w:rsidRPr="00641B60">
        <w:rPr>
          <w:rFonts w:eastAsia="Times New Roman" w:cstheme="minorHAnsi"/>
          <w:lang w:eastAsia="ja-JP"/>
        </w:rPr>
        <w:t>Learn how to apply a reciprocal learning framework to adapt core health interventions like peer support and community engagement across diverse settings.</w:t>
      </w:r>
    </w:p>
    <w:p w14:paraId="70E446B4" w14:textId="77777777" w:rsidR="00641B60" w:rsidRDefault="00641B60" w:rsidP="00641B60">
      <w:pPr>
        <w:pStyle w:val="ListParagraph"/>
        <w:numPr>
          <w:ilvl w:val="0"/>
          <w:numId w:val="15"/>
        </w:numPr>
        <w:spacing w:after="0" w:line="240" w:lineRule="auto"/>
        <w:rPr>
          <w:rFonts w:eastAsia="Times New Roman" w:cstheme="minorHAnsi"/>
          <w:lang w:eastAsia="ja-JP"/>
        </w:rPr>
      </w:pPr>
      <w:r w:rsidRPr="00641B60">
        <w:rPr>
          <w:rFonts w:eastAsia="Times New Roman" w:cstheme="minorHAnsi"/>
          <w:lang w:eastAsia="ja-JP"/>
        </w:rPr>
        <w:t>Explore strategies for engaging local communities, health workers, and governments to ensure culturally appropriate, sustainable health interventions.</w:t>
      </w:r>
    </w:p>
    <w:p w14:paraId="1834CA19" w14:textId="306A163F" w:rsidR="00A704A2" w:rsidRPr="00641B60" w:rsidRDefault="00641B60" w:rsidP="00641B60">
      <w:pPr>
        <w:pStyle w:val="ListParagraph"/>
        <w:numPr>
          <w:ilvl w:val="0"/>
          <w:numId w:val="15"/>
        </w:numPr>
        <w:spacing w:after="0" w:line="240" w:lineRule="auto"/>
        <w:rPr>
          <w:rFonts w:eastAsia="Times New Roman" w:cstheme="minorHAnsi"/>
          <w:lang w:eastAsia="ja-JP"/>
        </w:rPr>
      </w:pPr>
      <w:r w:rsidRPr="00641B60">
        <w:rPr>
          <w:rFonts w:eastAsia="Times New Roman" w:cstheme="minorHAnsi"/>
          <w:lang w:eastAsia="ja-JP"/>
        </w:rPr>
        <w:t>Gain insights into the mixed-method evaluation of health interventions, focusing on maintaining fidelity and adapting to local contexts for improved outcomes.</w:t>
      </w:r>
    </w:p>
    <w:sectPr w:rsidR="00A704A2" w:rsidRPr="00641B60" w:rsidSect="00897A76">
      <w:headerReference w:type="default" r:id="rId32"/>
      <w:footerReference w:type="default" r:id="rId3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9DB0F" w14:textId="77777777" w:rsidR="000D0D4B" w:rsidRDefault="000D0D4B" w:rsidP="00A33673">
      <w:pPr>
        <w:spacing w:after="0"/>
      </w:pPr>
      <w:r>
        <w:separator/>
      </w:r>
    </w:p>
  </w:endnote>
  <w:endnote w:type="continuationSeparator" w:id="0">
    <w:p w14:paraId="2D2BD78E" w14:textId="77777777" w:rsidR="000D0D4B" w:rsidRDefault="000D0D4B" w:rsidP="00A33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452432"/>
      <w:docPartObj>
        <w:docPartGallery w:val="Page Numbers (Bottom of Page)"/>
        <w:docPartUnique/>
      </w:docPartObj>
    </w:sdtPr>
    <w:sdtEndPr/>
    <w:sdtContent>
      <w:sdt>
        <w:sdtPr>
          <w:id w:val="1728636285"/>
          <w:docPartObj>
            <w:docPartGallery w:val="Page Numbers (Top of Page)"/>
            <w:docPartUnique/>
          </w:docPartObj>
        </w:sdtPr>
        <w:sdtEndPr/>
        <w:sdtContent>
          <w:p w14:paraId="647265D8" w14:textId="77777777" w:rsidR="00A33673" w:rsidRDefault="00A33673" w:rsidP="00A33673">
            <w:pPr>
              <w:pStyle w:val="Footer"/>
              <w:jc w:val="center"/>
            </w:pPr>
          </w:p>
          <w:p w14:paraId="13B9F54D" w14:textId="77777777" w:rsidR="00A33673" w:rsidRDefault="00A33673" w:rsidP="00A336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49DE3" w14:textId="77777777" w:rsidR="000D0D4B" w:rsidRDefault="000D0D4B" w:rsidP="00A33673">
      <w:pPr>
        <w:spacing w:after="0"/>
      </w:pPr>
      <w:r>
        <w:separator/>
      </w:r>
    </w:p>
  </w:footnote>
  <w:footnote w:type="continuationSeparator" w:id="0">
    <w:p w14:paraId="7873903D" w14:textId="77777777" w:rsidR="000D0D4B" w:rsidRDefault="000D0D4B" w:rsidP="00A336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4"/>
      <w:gridCol w:w="2805"/>
      <w:gridCol w:w="1275"/>
    </w:tblGrid>
    <w:tr w:rsidR="005C6121" w14:paraId="54E1E65D" w14:textId="77777777" w:rsidTr="005C6121">
      <w:trPr>
        <w:jc w:val="center"/>
      </w:trPr>
      <w:tc>
        <w:tcPr>
          <w:tcW w:w="2724" w:type="dxa"/>
          <w:vAlign w:val="center"/>
        </w:tcPr>
        <w:p w14:paraId="6FA4D5C4" w14:textId="77777777" w:rsidR="005C6121" w:rsidRDefault="005C6121" w:rsidP="005C6121">
          <w:pPr>
            <w:spacing w:after="0"/>
            <w:jc w:val="center"/>
          </w:pPr>
          <w:r>
            <w:rPr>
              <w:noProof/>
            </w:rPr>
            <w:drawing>
              <wp:inline distT="0" distB="0" distL="0" distR="0" wp14:anchorId="794F7358" wp14:editId="61FFEC05">
                <wp:extent cx="1859336" cy="328863"/>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 cstate="print">
                          <a:alphaModFix amt="35000"/>
                          <a:extLst>
                            <a:ext uri="{28A0092B-C50C-407E-A947-70E740481C1C}">
                              <a14:useLocalDpi xmlns:a14="http://schemas.microsoft.com/office/drawing/2010/main" val="0"/>
                            </a:ext>
                          </a:extLst>
                        </a:blip>
                        <a:srcRect/>
                        <a:stretch>
                          <a:fillRect/>
                        </a:stretch>
                      </pic:blipFill>
                      <pic:spPr bwMode="auto">
                        <a:xfrm>
                          <a:off x="0" y="0"/>
                          <a:ext cx="1913050" cy="338363"/>
                        </a:xfrm>
                        <a:prstGeom prst="rect">
                          <a:avLst/>
                        </a:prstGeom>
                        <a:noFill/>
                        <a:ln>
                          <a:noFill/>
                        </a:ln>
                      </pic:spPr>
                    </pic:pic>
                  </a:graphicData>
                </a:graphic>
              </wp:inline>
            </w:drawing>
          </w:r>
        </w:p>
      </w:tc>
      <w:tc>
        <w:tcPr>
          <w:tcW w:w="2805" w:type="dxa"/>
          <w:vAlign w:val="center"/>
        </w:tcPr>
        <w:p w14:paraId="21A9A38F" w14:textId="77777777" w:rsidR="005C6121" w:rsidRDefault="005C6121" w:rsidP="005C6121">
          <w:pPr>
            <w:spacing w:after="0"/>
            <w:jc w:val="center"/>
          </w:pPr>
          <w:r>
            <w:rPr>
              <w:noProof/>
            </w:rPr>
            <w:drawing>
              <wp:inline distT="0" distB="0" distL="0" distR="0" wp14:anchorId="0AF6850C" wp14:editId="2433F10E">
                <wp:extent cx="1568583" cy="521582"/>
                <wp:effectExtent l="0" t="0" r="0"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rotWithShape="1">
                        <a:blip r:embed="rId2" cstate="print">
                          <a:alphaModFix amt="35000"/>
                          <a:extLst>
                            <a:ext uri="{28A0092B-C50C-407E-A947-70E740481C1C}">
                              <a14:useLocalDpi xmlns:a14="http://schemas.microsoft.com/office/drawing/2010/main" val="0"/>
                            </a:ext>
                          </a:extLst>
                        </a:blip>
                        <a:srcRect t="16299" b="23675"/>
                        <a:stretch/>
                      </pic:blipFill>
                      <pic:spPr bwMode="auto">
                        <a:xfrm>
                          <a:off x="0" y="0"/>
                          <a:ext cx="1583597" cy="5265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5" w:type="dxa"/>
          <w:vAlign w:val="center"/>
        </w:tcPr>
        <w:p w14:paraId="03F47966" w14:textId="77777777" w:rsidR="005C6121" w:rsidRDefault="005C6121" w:rsidP="005C6121">
          <w:pPr>
            <w:spacing w:after="0"/>
          </w:pPr>
          <w:r>
            <w:rPr>
              <w:noProof/>
            </w:rPr>
            <w:drawing>
              <wp:inline distT="0" distB="0" distL="0" distR="0" wp14:anchorId="6ED65EB8" wp14:editId="0824CE62">
                <wp:extent cx="613644" cy="613644"/>
                <wp:effectExtent l="0" t="0" r="0" b="0"/>
                <wp:docPr id="11" name="Picture 11" descr="The University of Melbourne Logo PNG Transparent &amp;amp;amp; SVG Vector - Freebie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University of Melbourne Logo PNG Transparent &amp;amp;amp; SVG Vector - Freebie  Supply"/>
                        <pic:cNvPicPr>
                          <a:picLocks noChangeAspect="1" noChangeArrowheads="1"/>
                        </pic:cNvPicPr>
                      </pic:nvPicPr>
                      <pic:blipFill>
                        <a:blip r:embed="rId3" cstate="print">
                          <a:alphaModFix amt="35000"/>
                          <a:extLst>
                            <a:ext uri="{28A0092B-C50C-407E-A947-70E740481C1C}">
                              <a14:useLocalDpi xmlns:a14="http://schemas.microsoft.com/office/drawing/2010/main" val="0"/>
                            </a:ext>
                          </a:extLst>
                        </a:blip>
                        <a:srcRect/>
                        <a:stretch>
                          <a:fillRect/>
                        </a:stretch>
                      </pic:blipFill>
                      <pic:spPr bwMode="auto">
                        <a:xfrm>
                          <a:off x="0" y="0"/>
                          <a:ext cx="619348" cy="619348"/>
                        </a:xfrm>
                        <a:prstGeom prst="rect">
                          <a:avLst/>
                        </a:prstGeom>
                        <a:noFill/>
                        <a:ln>
                          <a:noFill/>
                        </a:ln>
                      </pic:spPr>
                    </pic:pic>
                  </a:graphicData>
                </a:graphic>
              </wp:inline>
            </w:drawing>
          </w:r>
        </w:p>
      </w:tc>
    </w:tr>
  </w:tbl>
  <w:p w14:paraId="6E963E93" w14:textId="3C67F0F2" w:rsidR="00AB2657" w:rsidRPr="00AB2657" w:rsidRDefault="00AB2657" w:rsidP="00AB2657">
    <w:pPr>
      <w:pStyle w:val="Header"/>
      <w:jc w:val="center"/>
      <w:rPr>
        <w:color w:val="AEAAAA" w:themeColor="background2" w:themeShade="BF"/>
      </w:rPr>
    </w:pPr>
    <w:r w:rsidRPr="00AB2657">
      <w:rPr>
        <w:color w:val="AEAAAA" w:themeColor="background2" w:themeShade="BF"/>
      </w:rPr>
      <w:t xml:space="preserve">IMPLEMENTATION SCIENCE E-HUB </w:t>
    </w:r>
    <w:r w:rsidRPr="00AB2657">
      <w:rPr>
        <w:b/>
        <w:bCs/>
        <w:color w:val="AEAAAA" w:themeColor="background2" w:themeShade="BF"/>
      </w:rPr>
      <w:t>CASE STUDY</w:t>
    </w:r>
  </w:p>
  <w:p w14:paraId="642A619B" w14:textId="77777777" w:rsidR="00AB2657" w:rsidRDefault="00AB2657" w:rsidP="00AB26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05DD"/>
    <w:multiLevelType w:val="hybridMultilevel"/>
    <w:tmpl w:val="417206E6"/>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32DA0"/>
    <w:multiLevelType w:val="hybridMultilevel"/>
    <w:tmpl w:val="E3082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9241E"/>
    <w:multiLevelType w:val="hybridMultilevel"/>
    <w:tmpl w:val="89482B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146616"/>
    <w:multiLevelType w:val="hybridMultilevel"/>
    <w:tmpl w:val="59302308"/>
    <w:lvl w:ilvl="0" w:tplc="6ED8C416">
      <w:start w:val="1"/>
      <w:numFmt w:val="bullet"/>
      <w:lvlText w:val=""/>
      <w:lvlJc w:val="left"/>
      <w:pPr>
        <w:ind w:left="720" w:hanging="360"/>
      </w:pPr>
      <w:rPr>
        <w:rFonts w:ascii="Wingdings" w:hAnsi="Wingdings" w:hint="default"/>
        <w:b/>
        <w:color w:val="FF874F" w:themeColor="accen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BB5155"/>
    <w:multiLevelType w:val="hybridMultilevel"/>
    <w:tmpl w:val="9AE4A002"/>
    <w:lvl w:ilvl="0" w:tplc="868E6B6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265DB9"/>
    <w:multiLevelType w:val="hybridMultilevel"/>
    <w:tmpl w:val="92B00F6C"/>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170A7"/>
    <w:multiLevelType w:val="hybridMultilevel"/>
    <w:tmpl w:val="176CEEF8"/>
    <w:lvl w:ilvl="0" w:tplc="12F6BF02">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4585F"/>
    <w:multiLevelType w:val="hybridMultilevel"/>
    <w:tmpl w:val="DF020CF0"/>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BE74D8"/>
    <w:multiLevelType w:val="multilevel"/>
    <w:tmpl w:val="8246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684BF2"/>
    <w:multiLevelType w:val="hybridMultilevel"/>
    <w:tmpl w:val="70E2FFC8"/>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4E55E7"/>
    <w:multiLevelType w:val="hybridMultilevel"/>
    <w:tmpl w:val="361411F4"/>
    <w:lvl w:ilvl="0" w:tplc="2D1A87A6">
      <w:start w:val="1"/>
      <w:numFmt w:val="bullet"/>
      <w:lvlText w:val=""/>
      <w:lvlJc w:val="left"/>
      <w:pPr>
        <w:ind w:left="720" w:hanging="360"/>
      </w:pPr>
      <w:rPr>
        <w:rFonts w:ascii="Wingdings" w:hAnsi="Wingdings" w:hint="default"/>
        <w:b/>
        <w:color w:val="FF874F" w:themeColor="accent1"/>
        <w:sz w:val="1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D782D"/>
    <w:multiLevelType w:val="hybridMultilevel"/>
    <w:tmpl w:val="1F6838C0"/>
    <w:lvl w:ilvl="0" w:tplc="6890B218">
      <w:start w:val="1"/>
      <w:numFmt w:val="bullet"/>
      <w:lvlText w:val=""/>
      <w:lvlJc w:val="left"/>
      <w:pPr>
        <w:ind w:left="720" w:hanging="360"/>
      </w:pPr>
      <w:rPr>
        <w:rFonts w:ascii="Wingdings" w:hAnsi="Wingdings" w:hint="default"/>
        <w:b/>
        <w:color w:val="FF874F" w:themeColor="accent1"/>
        <w:sz w:val="12"/>
        <w:szCs w:val="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092355"/>
    <w:multiLevelType w:val="hybridMultilevel"/>
    <w:tmpl w:val="32C87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3C2F28"/>
    <w:multiLevelType w:val="hybridMultilevel"/>
    <w:tmpl w:val="BA8C32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7135461"/>
    <w:multiLevelType w:val="hybridMultilevel"/>
    <w:tmpl w:val="55CC0ABA"/>
    <w:lvl w:ilvl="0" w:tplc="12F6BF02">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1C2E47"/>
    <w:multiLevelType w:val="hybridMultilevel"/>
    <w:tmpl w:val="4CCE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1530929">
    <w:abstractNumId w:val="2"/>
  </w:num>
  <w:num w:numId="2" w16cid:durableId="1920476102">
    <w:abstractNumId w:val="5"/>
  </w:num>
  <w:num w:numId="3" w16cid:durableId="1421638831">
    <w:abstractNumId w:val="0"/>
  </w:num>
  <w:num w:numId="4" w16cid:durableId="1206940439">
    <w:abstractNumId w:val="10"/>
  </w:num>
  <w:num w:numId="5" w16cid:durableId="642585136">
    <w:abstractNumId w:val="11"/>
  </w:num>
  <w:num w:numId="6" w16cid:durableId="1192112805">
    <w:abstractNumId w:val="14"/>
  </w:num>
  <w:num w:numId="7" w16cid:durableId="1675377417">
    <w:abstractNumId w:val="6"/>
  </w:num>
  <w:num w:numId="8" w16cid:durableId="1439833009">
    <w:abstractNumId w:val="3"/>
  </w:num>
  <w:num w:numId="9" w16cid:durableId="1755007460">
    <w:abstractNumId w:val="15"/>
  </w:num>
  <w:num w:numId="10" w16cid:durableId="1141386300">
    <w:abstractNumId w:val="9"/>
  </w:num>
  <w:num w:numId="11" w16cid:durableId="277568804">
    <w:abstractNumId w:val="7"/>
  </w:num>
  <w:num w:numId="12" w16cid:durableId="694422316">
    <w:abstractNumId w:val="8"/>
  </w:num>
  <w:num w:numId="13" w16cid:durableId="1761948699">
    <w:abstractNumId w:val="13"/>
  </w:num>
  <w:num w:numId="14" w16cid:durableId="1288392335">
    <w:abstractNumId w:val="4"/>
  </w:num>
  <w:num w:numId="15" w16cid:durableId="678583402">
    <w:abstractNumId w:val="1"/>
  </w:num>
  <w:num w:numId="16" w16cid:durableId="1794323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t00txd9jzaa9ved9xnprewwasfz05ad0pfx&quot;&gt;Smart2D&lt;record-ids&gt;&lt;item&gt;1&lt;/item&gt;&lt;item&gt;2&lt;/item&gt;&lt;item&gt;3&lt;/item&gt;&lt;item&gt;4&lt;/item&gt;&lt;item&gt;5&lt;/item&gt;&lt;item&gt;6&lt;/item&gt;&lt;/record-ids&gt;&lt;/item&gt;&lt;/Libraries&gt;"/>
  </w:docVars>
  <w:rsids>
    <w:rsidRoot w:val="00AB2657"/>
    <w:rsid w:val="00020A01"/>
    <w:rsid w:val="00025187"/>
    <w:rsid w:val="000313BF"/>
    <w:rsid w:val="00033577"/>
    <w:rsid w:val="00035D5F"/>
    <w:rsid w:val="000415C5"/>
    <w:rsid w:val="00047B7C"/>
    <w:rsid w:val="00060037"/>
    <w:rsid w:val="00071A4A"/>
    <w:rsid w:val="000752CA"/>
    <w:rsid w:val="00077EC5"/>
    <w:rsid w:val="00081817"/>
    <w:rsid w:val="00087DDE"/>
    <w:rsid w:val="000919C9"/>
    <w:rsid w:val="000970E5"/>
    <w:rsid w:val="000A2CC7"/>
    <w:rsid w:val="000A6F02"/>
    <w:rsid w:val="000B6AC9"/>
    <w:rsid w:val="000C4C15"/>
    <w:rsid w:val="000D0D4B"/>
    <w:rsid w:val="001157CA"/>
    <w:rsid w:val="00120F85"/>
    <w:rsid w:val="00133B12"/>
    <w:rsid w:val="0016134C"/>
    <w:rsid w:val="00170FEF"/>
    <w:rsid w:val="00176AB2"/>
    <w:rsid w:val="0018305E"/>
    <w:rsid w:val="00194E78"/>
    <w:rsid w:val="001A3791"/>
    <w:rsid w:val="001E7BD4"/>
    <w:rsid w:val="001F0514"/>
    <w:rsid w:val="001F2D3B"/>
    <w:rsid w:val="0022676B"/>
    <w:rsid w:val="00227894"/>
    <w:rsid w:val="002313D6"/>
    <w:rsid w:val="00233E2F"/>
    <w:rsid w:val="00241C72"/>
    <w:rsid w:val="00255A0D"/>
    <w:rsid w:val="00273E30"/>
    <w:rsid w:val="002749D6"/>
    <w:rsid w:val="00274E1A"/>
    <w:rsid w:val="00277FD0"/>
    <w:rsid w:val="00293A60"/>
    <w:rsid w:val="00295096"/>
    <w:rsid w:val="002A0253"/>
    <w:rsid w:val="002A148C"/>
    <w:rsid w:val="002A3061"/>
    <w:rsid w:val="002A30D9"/>
    <w:rsid w:val="002C59EB"/>
    <w:rsid w:val="002D0AC5"/>
    <w:rsid w:val="002E3807"/>
    <w:rsid w:val="002F3171"/>
    <w:rsid w:val="003242A4"/>
    <w:rsid w:val="00331297"/>
    <w:rsid w:val="00335BF4"/>
    <w:rsid w:val="00337E49"/>
    <w:rsid w:val="0034440B"/>
    <w:rsid w:val="003868BC"/>
    <w:rsid w:val="003A0316"/>
    <w:rsid w:val="003C2012"/>
    <w:rsid w:val="003C6952"/>
    <w:rsid w:val="003E5C29"/>
    <w:rsid w:val="00404B2F"/>
    <w:rsid w:val="004130B4"/>
    <w:rsid w:val="004213DD"/>
    <w:rsid w:val="004370EB"/>
    <w:rsid w:val="0043716B"/>
    <w:rsid w:val="004405BA"/>
    <w:rsid w:val="00456168"/>
    <w:rsid w:val="0045688D"/>
    <w:rsid w:val="004635B5"/>
    <w:rsid w:val="00464668"/>
    <w:rsid w:val="00476644"/>
    <w:rsid w:val="0048017D"/>
    <w:rsid w:val="004A61EA"/>
    <w:rsid w:val="004A6C2B"/>
    <w:rsid w:val="004C5A23"/>
    <w:rsid w:val="004D2639"/>
    <w:rsid w:val="004D60BF"/>
    <w:rsid w:val="004F58A9"/>
    <w:rsid w:val="0050771A"/>
    <w:rsid w:val="0051576D"/>
    <w:rsid w:val="00521C82"/>
    <w:rsid w:val="0053320B"/>
    <w:rsid w:val="00533453"/>
    <w:rsid w:val="00534C82"/>
    <w:rsid w:val="00550D15"/>
    <w:rsid w:val="0055399E"/>
    <w:rsid w:val="0055751F"/>
    <w:rsid w:val="00562062"/>
    <w:rsid w:val="00571F6D"/>
    <w:rsid w:val="00583D07"/>
    <w:rsid w:val="005A016A"/>
    <w:rsid w:val="005A188D"/>
    <w:rsid w:val="005A5805"/>
    <w:rsid w:val="005A5EEC"/>
    <w:rsid w:val="005B10F0"/>
    <w:rsid w:val="005B28DE"/>
    <w:rsid w:val="005B4ADF"/>
    <w:rsid w:val="005B5133"/>
    <w:rsid w:val="005C1668"/>
    <w:rsid w:val="005C2002"/>
    <w:rsid w:val="005C6121"/>
    <w:rsid w:val="005D2DB8"/>
    <w:rsid w:val="005E2040"/>
    <w:rsid w:val="005E7B8C"/>
    <w:rsid w:val="005F22F5"/>
    <w:rsid w:val="00616EB6"/>
    <w:rsid w:val="0061789C"/>
    <w:rsid w:val="00623B38"/>
    <w:rsid w:val="006250CD"/>
    <w:rsid w:val="006273E2"/>
    <w:rsid w:val="00631FC1"/>
    <w:rsid w:val="00634AAD"/>
    <w:rsid w:val="00641B60"/>
    <w:rsid w:val="00655A9F"/>
    <w:rsid w:val="006711C1"/>
    <w:rsid w:val="0067283F"/>
    <w:rsid w:val="00685AB4"/>
    <w:rsid w:val="006B0C82"/>
    <w:rsid w:val="006B3FD3"/>
    <w:rsid w:val="006B7864"/>
    <w:rsid w:val="006C7032"/>
    <w:rsid w:val="006D1A22"/>
    <w:rsid w:val="006D7938"/>
    <w:rsid w:val="006E00F1"/>
    <w:rsid w:val="006E3686"/>
    <w:rsid w:val="006E37F1"/>
    <w:rsid w:val="006F35A2"/>
    <w:rsid w:val="00703AC8"/>
    <w:rsid w:val="00705C22"/>
    <w:rsid w:val="00706A07"/>
    <w:rsid w:val="0070700B"/>
    <w:rsid w:val="0072352B"/>
    <w:rsid w:val="00725052"/>
    <w:rsid w:val="00731578"/>
    <w:rsid w:val="00736484"/>
    <w:rsid w:val="00753877"/>
    <w:rsid w:val="00756BF9"/>
    <w:rsid w:val="0076476E"/>
    <w:rsid w:val="00765356"/>
    <w:rsid w:val="00766B3D"/>
    <w:rsid w:val="00777393"/>
    <w:rsid w:val="0078334E"/>
    <w:rsid w:val="0078778E"/>
    <w:rsid w:val="00793E41"/>
    <w:rsid w:val="007A1451"/>
    <w:rsid w:val="007A6893"/>
    <w:rsid w:val="007B473B"/>
    <w:rsid w:val="007B709D"/>
    <w:rsid w:val="007C0D41"/>
    <w:rsid w:val="007D5B09"/>
    <w:rsid w:val="00814F24"/>
    <w:rsid w:val="008225BB"/>
    <w:rsid w:val="00825B88"/>
    <w:rsid w:val="0085198B"/>
    <w:rsid w:val="00855CF6"/>
    <w:rsid w:val="00860D33"/>
    <w:rsid w:val="008613EB"/>
    <w:rsid w:val="008928BF"/>
    <w:rsid w:val="008959B1"/>
    <w:rsid w:val="00897A76"/>
    <w:rsid w:val="008A27B0"/>
    <w:rsid w:val="008A2E41"/>
    <w:rsid w:val="008A3393"/>
    <w:rsid w:val="008A5F9F"/>
    <w:rsid w:val="008A76C2"/>
    <w:rsid w:val="008C4BB4"/>
    <w:rsid w:val="008D3F8E"/>
    <w:rsid w:val="008E38C7"/>
    <w:rsid w:val="008E3BFD"/>
    <w:rsid w:val="008E498A"/>
    <w:rsid w:val="008F0B45"/>
    <w:rsid w:val="008F52B0"/>
    <w:rsid w:val="0091499B"/>
    <w:rsid w:val="00920C49"/>
    <w:rsid w:val="00933662"/>
    <w:rsid w:val="00933BF6"/>
    <w:rsid w:val="00937448"/>
    <w:rsid w:val="0094005B"/>
    <w:rsid w:val="00940126"/>
    <w:rsid w:val="009452FF"/>
    <w:rsid w:val="00954075"/>
    <w:rsid w:val="00957CB6"/>
    <w:rsid w:val="0096540B"/>
    <w:rsid w:val="0097411D"/>
    <w:rsid w:val="00986E7C"/>
    <w:rsid w:val="00987B1D"/>
    <w:rsid w:val="009C08FB"/>
    <w:rsid w:val="009D5D86"/>
    <w:rsid w:val="009F1869"/>
    <w:rsid w:val="00A02BFA"/>
    <w:rsid w:val="00A11B90"/>
    <w:rsid w:val="00A12A86"/>
    <w:rsid w:val="00A1700B"/>
    <w:rsid w:val="00A207CF"/>
    <w:rsid w:val="00A273C7"/>
    <w:rsid w:val="00A27F92"/>
    <w:rsid w:val="00A33673"/>
    <w:rsid w:val="00A41253"/>
    <w:rsid w:val="00A44CAB"/>
    <w:rsid w:val="00A57310"/>
    <w:rsid w:val="00A704A2"/>
    <w:rsid w:val="00A77B3D"/>
    <w:rsid w:val="00A858ED"/>
    <w:rsid w:val="00AA7880"/>
    <w:rsid w:val="00AB2657"/>
    <w:rsid w:val="00AB31BF"/>
    <w:rsid w:val="00AB5B73"/>
    <w:rsid w:val="00AC1DB0"/>
    <w:rsid w:val="00AC5494"/>
    <w:rsid w:val="00AC74A1"/>
    <w:rsid w:val="00AD55D4"/>
    <w:rsid w:val="00AD684A"/>
    <w:rsid w:val="00AE092E"/>
    <w:rsid w:val="00AE0BF1"/>
    <w:rsid w:val="00AE3D1D"/>
    <w:rsid w:val="00B03D09"/>
    <w:rsid w:val="00B12DBF"/>
    <w:rsid w:val="00B17235"/>
    <w:rsid w:val="00B23276"/>
    <w:rsid w:val="00B31BA8"/>
    <w:rsid w:val="00B40019"/>
    <w:rsid w:val="00B43603"/>
    <w:rsid w:val="00B4701B"/>
    <w:rsid w:val="00B57FFA"/>
    <w:rsid w:val="00B6023B"/>
    <w:rsid w:val="00B61480"/>
    <w:rsid w:val="00B8338A"/>
    <w:rsid w:val="00B92581"/>
    <w:rsid w:val="00BA3319"/>
    <w:rsid w:val="00BC22E6"/>
    <w:rsid w:val="00BD112A"/>
    <w:rsid w:val="00BD4452"/>
    <w:rsid w:val="00BE228A"/>
    <w:rsid w:val="00BE7A96"/>
    <w:rsid w:val="00BF10EA"/>
    <w:rsid w:val="00C05DBA"/>
    <w:rsid w:val="00C11597"/>
    <w:rsid w:val="00C272FF"/>
    <w:rsid w:val="00C337F5"/>
    <w:rsid w:val="00C34CB1"/>
    <w:rsid w:val="00C57BF4"/>
    <w:rsid w:val="00C646C4"/>
    <w:rsid w:val="00CA529D"/>
    <w:rsid w:val="00CB67F7"/>
    <w:rsid w:val="00CD238B"/>
    <w:rsid w:val="00CD62E1"/>
    <w:rsid w:val="00CE7467"/>
    <w:rsid w:val="00D05616"/>
    <w:rsid w:val="00D06466"/>
    <w:rsid w:val="00D12689"/>
    <w:rsid w:val="00D13CFB"/>
    <w:rsid w:val="00D20882"/>
    <w:rsid w:val="00D2441F"/>
    <w:rsid w:val="00D32DCF"/>
    <w:rsid w:val="00D44229"/>
    <w:rsid w:val="00D4722C"/>
    <w:rsid w:val="00D5254B"/>
    <w:rsid w:val="00D63AC3"/>
    <w:rsid w:val="00D723FF"/>
    <w:rsid w:val="00D74763"/>
    <w:rsid w:val="00D778E6"/>
    <w:rsid w:val="00D83326"/>
    <w:rsid w:val="00D90B19"/>
    <w:rsid w:val="00D92B3E"/>
    <w:rsid w:val="00DA3115"/>
    <w:rsid w:val="00DA3838"/>
    <w:rsid w:val="00DE2EF2"/>
    <w:rsid w:val="00DF1B0C"/>
    <w:rsid w:val="00DF68E7"/>
    <w:rsid w:val="00DF6E3D"/>
    <w:rsid w:val="00E058BE"/>
    <w:rsid w:val="00E10BBC"/>
    <w:rsid w:val="00E13D11"/>
    <w:rsid w:val="00E14909"/>
    <w:rsid w:val="00E37970"/>
    <w:rsid w:val="00E4006A"/>
    <w:rsid w:val="00E42C2D"/>
    <w:rsid w:val="00E44E6F"/>
    <w:rsid w:val="00E45E7E"/>
    <w:rsid w:val="00E47225"/>
    <w:rsid w:val="00E50FD2"/>
    <w:rsid w:val="00E55076"/>
    <w:rsid w:val="00E56F0B"/>
    <w:rsid w:val="00E609DB"/>
    <w:rsid w:val="00E60CAC"/>
    <w:rsid w:val="00E65AAB"/>
    <w:rsid w:val="00E83E77"/>
    <w:rsid w:val="00E848EF"/>
    <w:rsid w:val="00E86064"/>
    <w:rsid w:val="00E86CEC"/>
    <w:rsid w:val="00E91FD4"/>
    <w:rsid w:val="00EC20AF"/>
    <w:rsid w:val="00ED43FE"/>
    <w:rsid w:val="00ED4B04"/>
    <w:rsid w:val="00EE3F21"/>
    <w:rsid w:val="00EE5554"/>
    <w:rsid w:val="00F30AE0"/>
    <w:rsid w:val="00F3285C"/>
    <w:rsid w:val="00F32A9D"/>
    <w:rsid w:val="00F33829"/>
    <w:rsid w:val="00F411F7"/>
    <w:rsid w:val="00F516E3"/>
    <w:rsid w:val="00F5736B"/>
    <w:rsid w:val="00F67C6F"/>
    <w:rsid w:val="00F7197C"/>
    <w:rsid w:val="00F71CFC"/>
    <w:rsid w:val="00F8610A"/>
    <w:rsid w:val="00F91284"/>
    <w:rsid w:val="00FB1542"/>
    <w:rsid w:val="00FB7A22"/>
    <w:rsid w:val="00FC0011"/>
    <w:rsid w:val="00FD695D"/>
    <w:rsid w:val="00FF7D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8E19AD"/>
  <w15:chartTrackingRefBased/>
  <w15:docId w15:val="{04C385A0-6548-4017-B04A-0FC5090A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57"/>
    <w:pPr>
      <w:spacing w:after="160" w:line="259" w:lineRule="auto"/>
    </w:pPr>
    <w:rPr>
      <w:rFonts w:eastAsia="SimSun"/>
      <w:lang w:val="en-AU" w:eastAsia="en-US"/>
    </w:rPr>
  </w:style>
  <w:style w:type="paragraph" w:styleId="Heading1">
    <w:name w:val="heading 1"/>
    <w:basedOn w:val="Normal"/>
    <w:next w:val="Normal"/>
    <w:link w:val="Heading1Char"/>
    <w:uiPriority w:val="9"/>
    <w:qFormat/>
    <w:rsid w:val="00A33673"/>
    <w:pPr>
      <w:keepNext/>
      <w:keepLines/>
      <w:pBdr>
        <w:bottom w:val="single" w:sz="24" w:space="1" w:color="FF874F" w:themeColor="accent1"/>
      </w:pBdr>
      <w:spacing w:before="240"/>
      <w:outlineLvl w:val="0"/>
    </w:pPr>
    <w:rPr>
      <w:rFonts w:eastAsiaTheme="majorEastAsia" w:cstheme="majorBidi"/>
      <w:b/>
      <w:color w:val="73908F" w:themeColor="accent6"/>
      <w:sz w:val="32"/>
      <w:szCs w:val="32"/>
    </w:rPr>
  </w:style>
  <w:style w:type="paragraph" w:styleId="Heading2">
    <w:name w:val="heading 2"/>
    <w:basedOn w:val="Normal"/>
    <w:next w:val="Normal"/>
    <w:link w:val="Heading2Char"/>
    <w:uiPriority w:val="9"/>
    <w:unhideWhenUsed/>
    <w:qFormat/>
    <w:rsid w:val="00A33673"/>
    <w:pPr>
      <w:keepNext/>
      <w:keepLines/>
      <w:pBdr>
        <w:bottom w:val="single" w:sz="18" w:space="1" w:color="FF874F" w:themeColor="accent1"/>
      </w:pBdr>
      <w:spacing w:before="120"/>
      <w:outlineLvl w:val="1"/>
    </w:pPr>
    <w:rPr>
      <w:rFonts w:eastAsiaTheme="majorEastAsia" w:cstheme="majorBidi"/>
      <w:b/>
      <w:color w:val="73908F" w:themeColor="accent6"/>
      <w:sz w:val="28"/>
      <w:szCs w:val="26"/>
    </w:rPr>
  </w:style>
  <w:style w:type="paragraph" w:styleId="Heading3">
    <w:name w:val="heading 3"/>
    <w:basedOn w:val="Normal"/>
    <w:next w:val="Normal"/>
    <w:link w:val="Heading3Char"/>
    <w:uiPriority w:val="9"/>
    <w:unhideWhenUsed/>
    <w:qFormat/>
    <w:rsid w:val="00A33673"/>
    <w:pPr>
      <w:keepNext/>
      <w:keepLines/>
      <w:pBdr>
        <w:top w:val="single" w:sz="12" w:space="1" w:color="FF874F" w:themeColor="accent1"/>
      </w:pBdr>
      <w:spacing w:before="120"/>
      <w:outlineLvl w:val="2"/>
    </w:pPr>
    <w:rPr>
      <w:rFonts w:eastAsiaTheme="majorEastAsia" w:cstheme="majorBidi"/>
      <w:b/>
      <w:color w:val="73908F" w:themeColor="accent6"/>
      <w:sz w:val="24"/>
      <w:szCs w:val="24"/>
    </w:rPr>
  </w:style>
  <w:style w:type="paragraph" w:styleId="Heading4">
    <w:name w:val="heading 4"/>
    <w:basedOn w:val="Normal"/>
    <w:next w:val="Normal"/>
    <w:link w:val="Heading4Char"/>
    <w:uiPriority w:val="9"/>
    <w:unhideWhenUsed/>
    <w:qFormat/>
    <w:rsid w:val="00A33673"/>
    <w:pPr>
      <w:keepNext/>
      <w:keepLines/>
      <w:pBdr>
        <w:top w:val="single" w:sz="6" w:space="1" w:color="FF874F" w:themeColor="accent1"/>
      </w:pBdr>
      <w:spacing w:before="120"/>
      <w:outlineLvl w:val="3"/>
    </w:pPr>
    <w:rPr>
      <w:rFonts w:eastAsiaTheme="majorEastAsia" w:cstheme="majorBidi"/>
      <w:i/>
      <w:iCs/>
      <w:color w:val="73908F" w:themeColor="accent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D-Heading1">
    <w:name w:val="GACD-Heading1"/>
    <w:next w:val="Normal"/>
    <w:link w:val="GACD-Heading1Char"/>
    <w:autoRedefine/>
    <w:qFormat/>
    <w:rsid w:val="00BA3319"/>
    <w:pPr>
      <w:pBdr>
        <w:bottom w:val="single" w:sz="4" w:space="1" w:color="FF874F"/>
      </w:pBdr>
    </w:pPr>
    <w:rPr>
      <w:b/>
      <w:color w:val="75908F"/>
      <w:sz w:val="32"/>
    </w:rPr>
  </w:style>
  <w:style w:type="character" w:customStyle="1" w:styleId="GACD-Heading1Char">
    <w:name w:val="GACD-Heading1 Char"/>
    <w:basedOn w:val="DefaultParagraphFont"/>
    <w:link w:val="GACD-Heading1"/>
    <w:rsid w:val="00BA3319"/>
    <w:rPr>
      <w:b/>
      <w:color w:val="75908F"/>
      <w:sz w:val="32"/>
    </w:rPr>
  </w:style>
  <w:style w:type="paragraph" w:customStyle="1" w:styleId="GACD-Heading2">
    <w:name w:val="GACD-Heading2"/>
    <w:basedOn w:val="Heading2"/>
    <w:next w:val="Normal"/>
    <w:link w:val="GACD-Heading2Char"/>
    <w:autoRedefine/>
    <w:qFormat/>
    <w:rsid w:val="00293A60"/>
    <w:pPr>
      <w:jc w:val="both"/>
    </w:pPr>
  </w:style>
  <w:style w:type="character" w:customStyle="1" w:styleId="GACD-Heading2Char">
    <w:name w:val="GACD-Heading2 Char"/>
    <w:basedOn w:val="GACD-Heading1Char"/>
    <w:link w:val="GACD-Heading2"/>
    <w:rsid w:val="00293A60"/>
    <w:rPr>
      <w:rFonts w:eastAsiaTheme="majorEastAsia" w:cstheme="majorBidi"/>
      <w:b/>
      <w:color w:val="73908F" w:themeColor="accent6"/>
      <w:sz w:val="28"/>
      <w:szCs w:val="26"/>
      <w:lang w:val="en-AU" w:eastAsia="en-US"/>
    </w:rPr>
  </w:style>
  <w:style w:type="paragraph" w:customStyle="1" w:styleId="GACD-Heading3">
    <w:name w:val="GACD-Heading3"/>
    <w:basedOn w:val="GACD-Heading1"/>
    <w:next w:val="Normal"/>
    <w:link w:val="GACD-Heading3Char"/>
    <w:autoRedefine/>
    <w:qFormat/>
    <w:rsid w:val="00BA3319"/>
    <w:pPr>
      <w:pBdr>
        <w:top w:val="single" w:sz="4" w:space="1" w:color="FF874F"/>
        <w:bottom w:val="none" w:sz="0" w:space="0" w:color="auto"/>
      </w:pBdr>
      <w:ind w:left="360" w:hanging="360"/>
    </w:pPr>
    <w:rPr>
      <w:sz w:val="24"/>
    </w:rPr>
  </w:style>
  <w:style w:type="character" w:customStyle="1" w:styleId="GACD-Heading3Char">
    <w:name w:val="GACD-Heading3 Char"/>
    <w:basedOn w:val="GACD-Heading1Char"/>
    <w:link w:val="GACD-Heading3"/>
    <w:rsid w:val="00BA3319"/>
    <w:rPr>
      <w:b/>
      <w:color w:val="75908F"/>
      <w:sz w:val="24"/>
    </w:rPr>
  </w:style>
  <w:style w:type="paragraph" w:styleId="Header">
    <w:name w:val="header"/>
    <w:basedOn w:val="Normal"/>
    <w:link w:val="HeaderChar"/>
    <w:uiPriority w:val="99"/>
    <w:unhideWhenUsed/>
    <w:rsid w:val="00A33673"/>
    <w:pPr>
      <w:tabs>
        <w:tab w:val="center" w:pos="4513"/>
        <w:tab w:val="right" w:pos="9026"/>
      </w:tabs>
      <w:spacing w:after="0"/>
    </w:pPr>
  </w:style>
  <w:style w:type="character" w:customStyle="1" w:styleId="HeaderChar">
    <w:name w:val="Header Char"/>
    <w:basedOn w:val="DefaultParagraphFont"/>
    <w:link w:val="Header"/>
    <w:uiPriority w:val="99"/>
    <w:rsid w:val="00A33673"/>
  </w:style>
  <w:style w:type="paragraph" w:styleId="Footer">
    <w:name w:val="footer"/>
    <w:basedOn w:val="Normal"/>
    <w:link w:val="FooterChar"/>
    <w:uiPriority w:val="99"/>
    <w:unhideWhenUsed/>
    <w:rsid w:val="00A33673"/>
    <w:pPr>
      <w:tabs>
        <w:tab w:val="center" w:pos="4513"/>
        <w:tab w:val="right" w:pos="9026"/>
      </w:tabs>
      <w:spacing w:after="0"/>
    </w:pPr>
  </w:style>
  <w:style w:type="character" w:customStyle="1" w:styleId="FooterChar">
    <w:name w:val="Footer Char"/>
    <w:basedOn w:val="DefaultParagraphFont"/>
    <w:link w:val="Footer"/>
    <w:uiPriority w:val="99"/>
    <w:rsid w:val="00A33673"/>
  </w:style>
  <w:style w:type="character" w:customStyle="1" w:styleId="Heading1Char">
    <w:name w:val="Heading 1 Char"/>
    <w:basedOn w:val="DefaultParagraphFont"/>
    <w:link w:val="Heading1"/>
    <w:uiPriority w:val="9"/>
    <w:rsid w:val="00A33673"/>
    <w:rPr>
      <w:rFonts w:eastAsiaTheme="majorEastAsia" w:cstheme="majorBidi"/>
      <w:b/>
      <w:color w:val="73908F" w:themeColor="accent6"/>
      <w:sz w:val="32"/>
      <w:szCs w:val="32"/>
    </w:rPr>
  </w:style>
  <w:style w:type="character" w:customStyle="1" w:styleId="Heading2Char">
    <w:name w:val="Heading 2 Char"/>
    <w:basedOn w:val="DefaultParagraphFont"/>
    <w:link w:val="Heading2"/>
    <w:uiPriority w:val="9"/>
    <w:rsid w:val="00A33673"/>
    <w:rPr>
      <w:rFonts w:eastAsiaTheme="majorEastAsia" w:cstheme="majorBidi"/>
      <w:b/>
      <w:color w:val="73908F" w:themeColor="accent6"/>
      <w:sz w:val="28"/>
      <w:szCs w:val="26"/>
    </w:rPr>
  </w:style>
  <w:style w:type="character" w:customStyle="1" w:styleId="Heading3Char">
    <w:name w:val="Heading 3 Char"/>
    <w:basedOn w:val="DefaultParagraphFont"/>
    <w:link w:val="Heading3"/>
    <w:uiPriority w:val="9"/>
    <w:rsid w:val="00A33673"/>
    <w:rPr>
      <w:rFonts w:eastAsiaTheme="majorEastAsia" w:cstheme="majorBidi"/>
      <w:b/>
      <w:color w:val="73908F" w:themeColor="accent6"/>
      <w:sz w:val="24"/>
      <w:szCs w:val="24"/>
    </w:rPr>
  </w:style>
  <w:style w:type="character" w:customStyle="1" w:styleId="Heading4Char">
    <w:name w:val="Heading 4 Char"/>
    <w:basedOn w:val="DefaultParagraphFont"/>
    <w:link w:val="Heading4"/>
    <w:uiPriority w:val="9"/>
    <w:rsid w:val="00A33673"/>
    <w:rPr>
      <w:rFonts w:eastAsiaTheme="majorEastAsia" w:cstheme="majorBidi"/>
      <w:i/>
      <w:iCs/>
      <w:color w:val="73908F" w:themeColor="accent6"/>
      <w:sz w:val="24"/>
    </w:rPr>
  </w:style>
  <w:style w:type="character" w:styleId="Hyperlink">
    <w:name w:val="Hyperlink"/>
    <w:basedOn w:val="DefaultParagraphFont"/>
    <w:uiPriority w:val="99"/>
    <w:unhideWhenUsed/>
    <w:rsid w:val="00AB2657"/>
    <w:rPr>
      <w:color w:val="5B9BD5" w:themeColor="hyperlink"/>
      <w:u w:val="single"/>
    </w:rPr>
  </w:style>
  <w:style w:type="paragraph" w:styleId="ListParagraph">
    <w:name w:val="List Paragraph"/>
    <w:basedOn w:val="Normal"/>
    <w:uiPriority w:val="34"/>
    <w:qFormat/>
    <w:rsid w:val="00AB2657"/>
    <w:pPr>
      <w:ind w:left="720"/>
      <w:contextualSpacing/>
    </w:pPr>
  </w:style>
  <w:style w:type="character" w:styleId="Strong">
    <w:name w:val="Strong"/>
    <w:basedOn w:val="DefaultParagraphFont"/>
    <w:uiPriority w:val="22"/>
    <w:qFormat/>
    <w:rsid w:val="006D7938"/>
    <w:rPr>
      <w:b/>
      <w:bCs/>
    </w:rPr>
  </w:style>
  <w:style w:type="table" w:styleId="TableGrid">
    <w:name w:val="Table Grid"/>
    <w:basedOn w:val="TableNormal"/>
    <w:uiPriority w:val="39"/>
    <w:rsid w:val="007B47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05BA"/>
    <w:rPr>
      <w:color w:val="605E5C"/>
      <w:shd w:val="clear" w:color="auto" w:fill="E1DFDD"/>
    </w:rPr>
  </w:style>
  <w:style w:type="character" w:styleId="CommentReference">
    <w:name w:val="annotation reference"/>
    <w:basedOn w:val="DefaultParagraphFont"/>
    <w:uiPriority w:val="99"/>
    <w:semiHidden/>
    <w:unhideWhenUsed/>
    <w:rsid w:val="003E5C29"/>
    <w:rPr>
      <w:sz w:val="16"/>
      <w:szCs w:val="16"/>
    </w:rPr>
  </w:style>
  <w:style w:type="paragraph" w:styleId="CommentText">
    <w:name w:val="annotation text"/>
    <w:basedOn w:val="Normal"/>
    <w:link w:val="CommentTextChar"/>
    <w:uiPriority w:val="99"/>
    <w:unhideWhenUsed/>
    <w:rsid w:val="003E5C29"/>
    <w:pPr>
      <w:spacing w:line="240" w:lineRule="auto"/>
    </w:pPr>
    <w:rPr>
      <w:sz w:val="20"/>
      <w:szCs w:val="20"/>
    </w:rPr>
  </w:style>
  <w:style w:type="character" w:customStyle="1" w:styleId="CommentTextChar">
    <w:name w:val="Comment Text Char"/>
    <w:basedOn w:val="DefaultParagraphFont"/>
    <w:link w:val="CommentText"/>
    <w:uiPriority w:val="99"/>
    <w:rsid w:val="003E5C29"/>
    <w:rPr>
      <w:rFonts w:eastAsia="SimSun"/>
      <w:sz w:val="20"/>
      <w:szCs w:val="20"/>
      <w:lang w:val="en-AU" w:eastAsia="en-US"/>
    </w:rPr>
  </w:style>
  <w:style w:type="paragraph" w:styleId="CommentSubject">
    <w:name w:val="annotation subject"/>
    <w:basedOn w:val="CommentText"/>
    <w:next w:val="CommentText"/>
    <w:link w:val="CommentSubjectChar"/>
    <w:uiPriority w:val="99"/>
    <w:semiHidden/>
    <w:unhideWhenUsed/>
    <w:rsid w:val="003E5C29"/>
    <w:rPr>
      <w:b/>
      <w:bCs/>
    </w:rPr>
  </w:style>
  <w:style w:type="character" w:customStyle="1" w:styleId="CommentSubjectChar">
    <w:name w:val="Comment Subject Char"/>
    <w:basedOn w:val="CommentTextChar"/>
    <w:link w:val="CommentSubject"/>
    <w:uiPriority w:val="99"/>
    <w:semiHidden/>
    <w:rsid w:val="003E5C29"/>
    <w:rPr>
      <w:rFonts w:eastAsia="SimSun"/>
      <w:b/>
      <w:bCs/>
      <w:sz w:val="20"/>
      <w:szCs w:val="20"/>
      <w:lang w:val="en-AU" w:eastAsia="en-US"/>
    </w:rPr>
  </w:style>
  <w:style w:type="paragraph" w:styleId="BalloonText">
    <w:name w:val="Balloon Text"/>
    <w:basedOn w:val="Normal"/>
    <w:link w:val="BalloonTextChar"/>
    <w:uiPriority w:val="99"/>
    <w:semiHidden/>
    <w:unhideWhenUsed/>
    <w:rsid w:val="00AD5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5D4"/>
    <w:rPr>
      <w:rFonts w:ascii="Segoe UI" w:eastAsia="SimSun" w:hAnsi="Segoe UI" w:cs="Segoe UI"/>
      <w:sz w:val="18"/>
      <w:szCs w:val="18"/>
      <w:lang w:val="en-AU" w:eastAsia="en-US"/>
    </w:rPr>
  </w:style>
  <w:style w:type="paragraph" w:styleId="Revision">
    <w:name w:val="Revision"/>
    <w:hidden/>
    <w:uiPriority w:val="99"/>
    <w:semiHidden/>
    <w:rsid w:val="004A6C2B"/>
    <w:pPr>
      <w:spacing w:after="0"/>
    </w:pPr>
    <w:rPr>
      <w:rFonts w:eastAsia="SimSun"/>
      <w:lang w:val="en-AU" w:eastAsia="en-US"/>
    </w:rPr>
  </w:style>
  <w:style w:type="paragraph" w:customStyle="1" w:styleId="EndNoteBibliographyTitle">
    <w:name w:val="EndNote Bibliography Title"/>
    <w:basedOn w:val="Normal"/>
    <w:link w:val="EndNoteBibliographyTitleChar"/>
    <w:rsid w:val="004130B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130B4"/>
    <w:rPr>
      <w:rFonts w:ascii="Calibri" w:eastAsia="SimSun" w:hAnsi="Calibri" w:cs="Calibri"/>
      <w:noProof/>
      <w:lang w:val="en-US" w:eastAsia="en-US"/>
    </w:rPr>
  </w:style>
  <w:style w:type="paragraph" w:customStyle="1" w:styleId="EndNoteBibliography">
    <w:name w:val="EndNote Bibliography"/>
    <w:basedOn w:val="Normal"/>
    <w:link w:val="EndNoteBibliographyChar"/>
    <w:rsid w:val="004130B4"/>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4130B4"/>
    <w:rPr>
      <w:rFonts w:ascii="Calibri" w:eastAsia="SimSun" w:hAnsi="Calibri" w:cs="Calibri"/>
      <w:noProof/>
      <w:lang w:val="en-US" w:eastAsia="en-US"/>
    </w:rPr>
  </w:style>
  <w:style w:type="paragraph" w:styleId="NormalWeb">
    <w:name w:val="Normal (Web)"/>
    <w:basedOn w:val="Normal"/>
    <w:uiPriority w:val="99"/>
    <w:semiHidden/>
    <w:unhideWhenUsed/>
    <w:rsid w:val="00641B60"/>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090599">
      <w:bodyDiv w:val="1"/>
      <w:marLeft w:val="0"/>
      <w:marRight w:val="0"/>
      <w:marTop w:val="0"/>
      <w:marBottom w:val="0"/>
      <w:divBdr>
        <w:top w:val="none" w:sz="0" w:space="0" w:color="auto"/>
        <w:left w:val="none" w:sz="0" w:space="0" w:color="auto"/>
        <w:bottom w:val="none" w:sz="0" w:space="0" w:color="auto"/>
        <w:right w:val="none" w:sz="0" w:space="0" w:color="auto"/>
      </w:divBdr>
    </w:div>
    <w:div w:id="972636443">
      <w:bodyDiv w:val="1"/>
      <w:marLeft w:val="0"/>
      <w:marRight w:val="0"/>
      <w:marTop w:val="0"/>
      <w:marBottom w:val="0"/>
      <w:divBdr>
        <w:top w:val="none" w:sz="0" w:space="0" w:color="auto"/>
        <w:left w:val="none" w:sz="0" w:space="0" w:color="auto"/>
        <w:bottom w:val="none" w:sz="0" w:space="0" w:color="auto"/>
        <w:right w:val="none" w:sz="0" w:space="0" w:color="auto"/>
      </w:divBdr>
    </w:div>
    <w:div w:id="1425957358">
      <w:bodyDiv w:val="1"/>
      <w:marLeft w:val="0"/>
      <w:marRight w:val="0"/>
      <w:marTop w:val="0"/>
      <w:marBottom w:val="0"/>
      <w:divBdr>
        <w:top w:val="none" w:sz="0" w:space="0" w:color="auto"/>
        <w:left w:val="none" w:sz="0" w:space="0" w:color="auto"/>
        <w:bottom w:val="none" w:sz="0" w:space="0" w:color="auto"/>
        <w:right w:val="none" w:sz="0" w:space="0" w:color="auto"/>
      </w:divBdr>
    </w:div>
    <w:div w:id="1812474470">
      <w:bodyDiv w:val="1"/>
      <w:marLeft w:val="0"/>
      <w:marRight w:val="0"/>
      <w:marTop w:val="0"/>
      <w:marBottom w:val="0"/>
      <w:divBdr>
        <w:top w:val="none" w:sz="0" w:space="0" w:color="auto"/>
        <w:left w:val="none" w:sz="0" w:space="0" w:color="auto"/>
        <w:bottom w:val="none" w:sz="0" w:space="0" w:color="auto"/>
        <w:right w:val="none" w:sz="0" w:space="0" w:color="auto"/>
      </w:divBdr>
    </w:div>
    <w:div w:id="1956789120">
      <w:bodyDiv w:val="1"/>
      <w:marLeft w:val="0"/>
      <w:marRight w:val="0"/>
      <w:marTop w:val="0"/>
      <w:marBottom w:val="0"/>
      <w:divBdr>
        <w:top w:val="none" w:sz="0" w:space="0" w:color="auto"/>
        <w:left w:val="none" w:sz="0" w:space="0" w:color="auto"/>
        <w:bottom w:val="none" w:sz="0" w:space="0" w:color="auto"/>
        <w:right w:val="none" w:sz="0" w:space="0" w:color="auto"/>
      </w:divBdr>
    </w:div>
    <w:div w:id="203564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youtu.be/et4oqruNe0A" TargetMode="External"/><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hyperlink" Target="https://youtu.be/uNj9dL9KHuI"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image" Target="media/image7.svg"/><Relationship Id="rId25" Type="http://schemas.openxmlformats.org/officeDocument/2006/relationships/image" Target="media/image13.sv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svg"/><Relationship Id="rId29" Type="http://schemas.openxmlformats.org/officeDocument/2006/relationships/image" Target="media/image17.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youtu.be/doPi1qWX9Vk" TargetMode="External"/><Relationship Id="rId23" Type="http://schemas.openxmlformats.org/officeDocument/2006/relationships/image" Target="media/image11.svg"/><Relationship Id="rId28" Type="http://schemas.openxmlformats.org/officeDocument/2006/relationships/image" Target="media/image16.png"/><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image" Target="media/image19.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svg"/><Relationship Id="rId22" Type="http://schemas.openxmlformats.org/officeDocument/2006/relationships/image" Target="media/image10.png"/><Relationship Id="rId27" Type="http://schemas.openxmlformats.org/officeDocument/2006/relationships/image" Target="media/image15.svg"/><Relationship Id="rId30" Type="http://schemas.openxmlformats.org/officeDocument/2006/relationships/image" Target="media/image18.png"/><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2.png"/><Relationship Id="rId2" Type="http://schemas.openxmlformats.org/officeDocument/2006/relationships/image" Target="media/image21.png"/><Relationship Id="rId1"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andurek\OneDrive%20-%20GACD%20Action\Documents\Custom%20Office%20Templates\GACD%20template%20-%20Word.dotx" TargetMode="External"/></Relationships>
</file>

<file path=word/theme/theme1.xml><?xml version="1.0" encoding="utf-8"?>
<a:theme xmlns:a="http://schemas.openxmlformats.org/drawingml/2006/main" name="Office Theme">
  <a:themeElements>
    <a:clrScheme name="GACD*">
      <a:dk1>
        <a:sysClr val="windowText" lastClr="000000"/>
      </a:dk1>
      <a:lt1>
        <a:sysClr val="window" lastClr="FFFFFF"/>
      </a:lt1>
      <a:dk2>
        <a:srgbClr val="44546A"/>
      </a:dk2>
      <a:lt2>
        <a:srgbClr val="E7E6E6"/>
      </a:lt2>
      <a:accent1>
        <a:srgbClr val="FF874F"/>
      </a:accent1>
      <a:accent2>
        <a:srgbClr val="36A18B"/>
      </a:accent2>
      <a:accent3>
        <a:srgbClr val="FCBF56"/>
      </a:accent3>
      <a:accent4>
        <a:srgbClr val="436EA7"/>
      </a:accent4>
      <a:accent5>
        <a:srgbClr val="F05890"/>
      </a:accent5>
      <a:accent6>
        <a:srgbClr val="73908F"/>
      </a:accent6>
      <a:hlink>
        <a:srgbClr val="5B9BD5"/>
      </a:hlink>
      <a:folHlink>
        <a:srgbClr val="8496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BDB5C2F2FB347BDB4C8DD8DD286A4" ma:contentTypeVersion="14" ma:contentTypeDescription="Create a new document." ma:contentTypeScope="" ma:versionID="3c6c7b3fada8cdd44608e6a760b178b8">
  <xsd:schema xmlns:xsd="http://www.w3.org/2001/XMLSchema" xmlns:xs="http://www.w3.org/2001/XMLSchema" xmlns:p="http://schemas.microsoft.com/office/2006/metadata/properties" xmlns:ns3="7d9e5d5a-edbd-4666-a4fe-8649a22e4736" xmlns:ns4="21a7241f-69b3-479e-aa5b-852d898a3cd8" targetNamespace="http://schemas.microsoft.com/office/2006/metadata/properties" ma:root="true" ma:fieldsID="c146e6f8f289c3731a608cc62e868427" ns3:_="" ns4:_="">
    <xsd:import namespace="7d9e5d5a-edbd-4666-a4fe-8649a22e4736"/>
    <xsd:import namespace="21a7241f-69b3-479e-aa5b-852d898a3c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e5d5a-edbd-4666-a4fe-8649a22e4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a7241f-69b3-479e-aa5b-852d898a3c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D2D1C3-AEA2-439D-8F51-DF4B7E097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e5d5a-edbd-4666-a4fe-8649a22e4736"/>
    <ds:schemaRef ds:uri="21a7241f-69b3-479e-aa5b-852d898a3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0D644-07C9-44E5-902F-34974DCA9E6F}">
  <ds:schemaRefs>
    <ds:schemaRef ds:uri="http://schemas.microsoft.com/office/2006/documentManagement/types"/>
    <ds:schemaRef ds:uri="http://purl.org/dc/elements/1.1/"/>
    <ds:schemaRef ds:uri="http://schemas.microsoft.com/office/2006/metadata/properties"/>
    <ds:schemaRef ds:uri="21a7241f-69b3-479e-aa5b-852d898a3cd8"/>
    <ds:schemaRef ds:uri="http://schemas.openxmlformats.org/package/2006/metadata/core-properties"/>
    <ds:schemaRef ds:uri="http://purl.org/dc/terms/"/>
    <ds:schemaRef ds:uri="http://schemas.microsoft.com/office/infopath/2007/PartnerControls"/>
    <ds:schemaRef ds:uri="7d9e5d5a-edbd-4666-a4fe-8649a22e4736"/>
    <ds:schemaRef ds:uri="http://www.w3.org/XML/1998/namespace"/>
    <ds:schemaRef ds:uri="http://purl.org/dc/dcmitype/"/>
  </ds:schemaRefs>
</ds:datastoreItem>
</file>

<file path=customXml/itemProps3.xml><?xml version="1.0" encoding="utf-8"?>
<ds:datastoreItem xmlns:ds="http://schemas.openxmlformats.org/officeDocument/2006/customXml" ds:itemID="{DE18EDE5-96F6-488B-B537-651DD4A384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GACD template - Word</Template>
  <TotalTime>46</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Bandurek</dc:creator>
  <cp:keywords/>
  <dc:description/>
  <cp:lastModifiedBy>Kevin</cp:lastModifiedBy>
  <cp:revision>9</cp:revision>
  <cp:lastPrinted>2024-11-04T12:14:00Z</cp:lastPrinted>
  <dcterms:created xsi:type="dcterms:W3CDTF">2024-04-16T09:59:00Z</dcterms:created>
  <dcterms:modified xsi:type="dcterms:W3CDTF">2024-11-04T12:14:00Z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0x0101008E3BDB5C2F2FB347BDB4C8DD8DD286A4</vt:lpwstr>
  </property>
</Properties>
</file>