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3A72" w14:textId="77777777" w:rsidR="003C6952" w:rsidRPr="00C45933" w:rsidRDefault="003C6952" w:rsidP="003C6952">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4C020DB8" w:rsidR="003C6952" w:rsidRPr="00F42EC1" w:rsidRDefault="0045701E" w:rsidP="000313BF">
            <w:pPr>
              <w:spacing w:after="0"/>
              <w:jc w:val="center"/>
              <w:rPr>
                <w:b/>
                <w:bCs/>
                <w:color w:val="FFFFFF" w:themeColor="background1"/>
                <w:sz w:val="56"/>
                <w:szCs w:val="56"/>
              </w:rPr>
            </w:pPr>
            <w:r>
              <w:rPr>
                <w:b/>
                <w:bCs/>
                <w:color w:val="FFFFFF" w:themeColor="background1"/>
                <w:sz w:val="56"/>
                <w:szCs w:val="56"/>
              </w:rPr>
              <w:t>S</w:t>
            </w:r>
            <w:r w:rsidRPr="0045701E">
              <w:rPr>
                <w:b/>
                <w:bCs/>
                <w:color w:val="FFFFFF" w:themeColor="background1"/>
                <w:sz w:val="56"/>
                <w:szCs w:val="56"/>
              </w:rPr>
              <w:t>ituational analysis for the implementation of NCD prevention and control policies and interventions</w:t>
            </w:r>
          </w:p>
        </w:tc>
      </w:tr>
    </w:tbl>
    <w:p w14:paraId="06474FFA"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4758DE1A" w:rsidR="003C6952" w:rsidRPr="000313BF" w:rsidRDefault="0045701E" w:rsidP="00794DF4">
            <w:pPr>
              <w:spacing w:after="0"/>
              <w:jc w:val="center"/>
              <w:rPr>
                <w:i/>
                <w:iCs/>
                <w:sz w:val="20"/>
                <w:szCs w:val="20"/>
              </w:rPr>
            </w:pPr>
            <w:r w:rsidRPr="0045701E">
              <w:rPr>
                <w:i/>
                <w:iCs/>
                <w:sz w:val="20"/>
                <w:szCs w:val="20"/>
              </w:rPr>
              <w:t>Kerala Diabetes Prevention Program (KDPP)</w:t>
            </w:r>
          </w:p>
        </w:tc>
      </w:tr>
    </w:tbl>
    <w:p w14:paraId="2ECCD665"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2528359A" w:rsidR="003C6952" w:rsidRPr="000313BF" w:rsidRDefault="0045701E" w:rsidP="000313BF">
            <w:pPr>
              <w:shd w:val="clear" w:color="auto" w:fill="E2E8E8" w:themeFill="accent6" w:themeFillTint="33"/>
              <w:spacing w:after="0"/>
              <w:jc w:val="center"/>
              <w:rPr>
                <w:i/>
                <w:iCs/>
                <w:sz w:val="20"/>
                <w:szCs w:val="20"/>
              </w:rPr>
            </w:pPr>
            <w:r w:rsidRPr="0045701E">
              <w:rPr>
                <w:i/>
                <w:iCs/>
                <w:sz w:val="20"/>
                <w:szCs w:val="20"/>
              </w:rPr>
              <w:t xml:space="preserve">Sree Chitra </w:t>
            </w:r>
            <w:proofErr w:type="spellStart"/>
            <w:r w:rsidRPr="0045701E">
              <w:rPr>
                <w:i/>
                <w:iCs/>
                <w:sz w:val="20"/>
                <w:szCs w:val="20"/>
              </w:rPr>
              <w:t>Tirunal</w:t>
            </w:r>
            <w:proofErr w:type="spellEnd"/>
            <w:r w:rsidRPr="0045701E">
              <w:rPr>
                <w:i/>
                <w:iCs/>
                <w:sz w:val="20"/>
                <w:szCs w:val="20"/>
              </w:rPr>
              <w:t xml:space="preserve"> Institute for Medical Sciences and Technology, Trivandrum, India</w:t>
            </w:r>
          </w:p>
        </w:tc>
      </w:tr>
    </w:tbl>
    <w:p w14:paraId="4160B318" w14:textId="77777777" w:rsidR="003C6952" w:rsidRPr="00650EAE" w:rsidRDefault="003C6952" w:rsidP="003C6952">
      <w:pPr>
        <w:jc w:val="center"/>
        <w:rPr>
          <w:sz w:val="20"/>
          <w:szCs w:val="20"/>
        </w:rPr>
      </w:pPr>
    </w:p>
    <w:p w14:paraId="74BB3237" w14:textId="77777777" w:rsidR="006711C1" w:rsidRDefault="006711C1" w:rsidP="000E7BAC">
      <w:pPr>
        <w:pStyle w:val="Heading2"/>
        <w:jc w:val="both"/>
      </w:pPr>
      <w:r>
        <w:t>Case study summary</w:t>
      </w:r>
    </w:p>
    <w:p w14:paraId="2526E242" w14:textId="1B0367AD" w:rsidR="0045701E" w:rsidRPr="0045701E" w:rsidRDefault="0045701E" w:rsidP="000E7BAC">
      <w:pPr>
        <w:jc w:val="both"/>
      </w:pPr>
      <w:r>
        <w:rPr>
          <w:rFonts w:ascii="Segoe UI" w:hAnsi="Segoe UI" w:cs="Segoe UI"/>
          <w:color w:val="0D0D0D"/>
          <w:shd w:val="clear" w:color="auto" w:fill="FFFFFF"/>
        </w:rPr>
        <w:t xml:space="preserve">This case study outlines the situational analysis conducted in Kerala, India, focusing on the implementation of a diabetes prevention programme. The analysis aimed to adapt international prevention strategies to Kerala's context, addressing the high prevalence of type 2 diabetes mellitus (T2DM) in the region. </w:t>
      </w:r>
    </w:p>
    <w:p w14:paraId="01700C2E" w14:textId="225F64F5" w:rsidR="006711C1" w:rsidRDefault="00AB5B73" w:rsidP="000E7BAC">
      <w:pPr>
        <w:pStyle w:val="Heading2"/>
        <w:jc w:val="both"/>
      </w:pPr>
      <w:r>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Identification and characterisation of implementation issues</w:t>
      </w:r>
    </w:p>
    <w:p w14:paraId="79E653AD" w14:textId="19A163B8" w:rsidR="0045701E" w:rsidRPr="0045701E" w:rsidRDefault="0045701E" w:rsidP="000E7BAC">
      <w:pPr>
        <w:jc w:val="both"/>
      </w:pPr>
      <w:r>
        <w:rPr>
          <w:rFonts w:ascii="Segoe UI" w:hAnsi="Segoe UI" w:cs="Segoe UI"/>
          <w:color w:val="0D0D0D"/>
          <w:shd w:val="clear" w:color="auto" w:fill="FFFFFF"/>
        </w:rPr>
        <w:t xml:space="preserve">With India harbouring the second-largest number of individuals with T2DM and Kerala showing the highest prevalence within the country, the situational analysis aimed to pinpoint gaps in existing NCD prevention policies and the need for localised intervention strategies. </w:t>
      </w:r>
    </w:p>
    <w:p w14:paraId="3FBFCBE0" w14:textId="1FF03781" w:rsidR="006711C1" w:rsidRDefault="00A704A2" w:rsidP="000E7BAC">
      <w:pPr>
        <w:pStyle w:val="Heading2"/>
        <w:jc w:val="both"/>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Selection, adaptation, and application of implementation strategies</w:t>
      </w:r>
    </w:p>
    <w:p w14:paraId="2A45DF59" w14:textId="3C252D84" w:rsidR="006711C1" w:rsidRDefault="00AB5B73" w:rsidP="000E7BAC">
      <w:pPr>
        <w:jc w:val="both"/>
        <w:rPr>
          <w:rFonts w:eastAsia="Calibri"/>
          <w:lang w:eastAsia="zh-CN"/>
        </w:rPr>
      </w:pPr>
      <w:r w:rsidRPr="00AB5B73">
        <w:rPr>
          <w:rFonts w:eastAsia="Calibri"/>
          <w:lang w:eastAsia="zh-CN"/>
        </w:rPr>
        <w:t xml:space="preserve"> </w:t>
      </w:r>
      <w:r w:rsidR="0045701E">
        <w:rPr>
          <w:rFonts w:ascii="Segoe UI" w:hAnsi="Segoe UI" w:cs="Segoe UI"/>
          <w:color w:val="0D0D0D"/>
          <w:shd w:val="clear" w:color="auto" w:fill="FFFFFF"/>
        </w:rPr>
        <w:t>The Kerala Diabetes Prevention Programme (KDPP), a community-based lifestyle intervention, was designed targeting high-risk rural populations. It involved peer-led educational sessions on diabetes prevention and group facilitation, supplemented by community-wide activities like yoga and gardening.</w:t>
      </w:r>
    </w:p>
    <w:p w14:paraId="559626E2" w14:textId="6AAB1A45" w:rsidR="006711C1" w:rsidRDefault="0045701E" w:rsidP="000E7BAC">
      <w:pPr>
        <w:pStyle w:val="Heading2"/>
        <w:jc w:val="both"/>
      </w:pPr>
      <w:r w:rsidRPr="002A30D9">
        <w:rPr>
          <w:b w:val="0"/>
          <w:bCs/>
          <w:noProof/>
        </w:rPr>
        <w:drawing>
          <wp:anchor distT="0" distB="0" distL="114300" distR="114300" simplePos="0" relativeHeight="251664384" behindDoc="0" locked="0" layoutInCell="1" allowOverlap="1" wp14:anchorId="79ABE303" wp14:editId="7307182F">
            <wp:simplePos x="0" y="0"/>
            <wp:positionH relativeFrom="margin">
              <wp:posOffset>-106680</wp:posOffset>
            </wp:positionH>
            <wp:positionV relativeFrom="paragraph">
              <wp:posOffset>14605</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600C44FC" w14:textId="3809CA85" w:rsidR="0045701E" w:rsidRPr="0045701E" w:rsidRDefault="0045701E" w:rsidP="000E7BAC">
      <w:pPr>
        <w:jc w:val="both"/>
      </w:pPr>
      <w:r>
        <w:rPr>
          <w:rFonts w:ascii="Segoe UI" w:hAnsi="Segoe UI" w:cs="Segoe UI"/>
          <w:color w:val="0D0D0D"/>
          <w:shd w:val="clear" w:color="auto" w:fill="FFFFFF"/>
        </w:rPr>
        <w:t>The approach involved gathering qualitative data through focus groups comprising pre-diabetic individuals from rural areas, aiming to uncover cultural needs and attitudes towards T2DM prevention. This helped tailor the KDPP to local preferences and conditions.</w:t>
      </w:r>
    </w:p>
    <w:p w14:paraId="4BA303FF" w14:textId="581505B2" w:rsidR="006711C1" w:rsidRDefault="00AB5B73" w:rsidP="000E7BAC">
      <w:pPr>
        <w:pStyle w:val="Heading2"/>
        <w:jc w:val="both"/>
      </w:pPr>
      <w:r w:rsidRPr="00AB5B73">
        <w:rPr>
          <w:rFonts w:eastAsia="Calibri"/>
          <w:noProof/>
          <w:lang w:eastAsia="zh-CN"/>
        </w:rPr>
        <w:lastRenderedPageBreak/>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32CC80EF" w14:textId="2C948E3A" w:rsidR="0045701E" w:rsidRPr="0045701E" w:rsidRDefault="0045701E" w:rsidP="000E7BAC">
      <w:pPr>
        <w:jc w:val="both"/>
      </w:pPr>
      <w:r>
        <w:rPr>
          <w:rFonts w:ascii="Segoe UI" w:hAnsi="Segoe UI" w:cs="Segoe UI"/>
          <w:color w:val="0D0D0D"/>
          <w:shd w:val="clear" w:color="auto" w:fill="FFFFFF"/>
        </w:rPr>
        <w:t>Implementation was evaluated through triangulation of evidence from prior research, policy documents, and engagement with local stakeholders. This multi-source approach aimed to ensure the KDPP's relevance and effectiveness.</w:t>
      </w:r>
    </w:p>
    <w:p w14:paraId="0E1BB3CD" w14:textId="10C67141" w:rsidR="006711C1" w:rsidRDefault="00A704A2" w:rsidP="000E7BAC">
      <w:pPr>
        <w:pStyle w:val="Heading2"/>
        <w:jc w:val="both"/>
      </w:pPr>
      <w:r>
        <w:rPr>
          <w:noProof/>
        </w:rPr>
        <w:drawing>
          <wp:anchor distT="0" distB="0" distL="114300" distR="114300" simplePos="0" relativeHeight="251668480" behindDoc="0" locked="0" layoutInCell="1" allowOverlap="1" wp14:anchorId="27E9EC86" wp14:editId="74525780">
            <wp:simplePos x="0" y="0"/>
            <wp:positionH relativeFrom="margin">
              <wp:align>left</wp:align>
            </wp:positionH>
            <wp:positionV relativeFrom="paragraph">
              <wp:posOffset>6985</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28CECFC5" w14:textId="204592DD" w:rsidR="0045701E" w:rsidRPr="0045701E" w:rsidRDefault="0045701E" w:rsidP="000E7BAC">
      <w:pPr>
        <w:jc w:val="both"/>
      </w:pPr>
      <w:r>
        <w:rPr>
          <w:rFonts w:ascii="Segoe UI" w:hAnsi="Segoe UI" w:cs="Segoe UI"/>
          <w:color w:val="0D0D0D"/>
          <w:shd w:val="clear" w:color="auto" w:fill="FFFFFF"/>
        </w:rPr>
        <w:t xml:space="preserve">The situational analysis uncovered significant gaps in NCD research and policy in Kerala. Despite high NCD rates, the implementation of prevention programmes </w:t>
      </w:r>
      <w:proofErr w:type="gramStart"/>
      <w:r>
        <w:rPr>
          <w:rFonts w:ascii="Segoe UI" w:hAnsi="Segoe UI" w:cs="Segoe UI"/>
          <w:color w:val="0D0D0D"/>
          <w:shd w:val="clear" w:color="auto" w:fill="FFFFFF"/>
        </w:rPr>
        <w:t>lagged behind</w:t>
      </w:r>
      <w:proofErr w:type="gramEnd"/>
      <w:r>
        <w:rPr>
          <w:rFonts w:ascii="Segoe UI" w:hAnsi="Segoe UI" w:cs="Segoe UI"/>
          <w:color w:val="0D0D0D"/>
          <w:shd w:val="clear" w:color="auto" w:fill="FFFFFF"/>
        </w:rPr>
        <w:t xml:space="preserve"> high-income countries, highlighting an urgent need for tailored intervention strategies.</w:t>
      </w:r>
    </w:p>
    <w:p w14:paraId="52FFF0FE" w14:textId="27F373AD" w:rsidR="000E7BAC" w:rsidRDefault="000E7BAC" w:rsidP="000E7BAC">
      <w:pPr>
        <w:pStyle w:val="Heading2"/>
        <w:jc w:val="both"/>
      </w:pPr>
      <w:r>
        <w:rPr>
          <w:noProof/>
        </w:rPr>
        <w:drawing>
          <wp:anchor distT="0" distB="0" distL="114300" distR="114300" simplePos="0" relativeHeight="251676672" behindDoc="0" locked="0" layoutInCell="1" allowOverlap="1" wp14:anchorId="6888DBA9" wp14:editId="5866EAB4">
            <wp:simplePos x="0" y="0"/>
            <wp:positionH relativeFrom="page">
              <wp:posOffset>681355</wp:posOffset>
            </wp:positionH>
            <wp:positionV relativeFrom="paragraph">
              <wp:posOffset>7620</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limitations</w:t>
      </w:r>
    </w:p>
    <w:p w14:paraId="378C3A0D" w14:textId="321EED14" w:rsidR="006711C1" w:rsidRPr="000E7BAC" w:rsidRDefault="0045701E" w:rsidP="000E7BAC">
      <w:pPr>
        <w:rPr>
          <w:rFonts w:eastAsiaTheme="majorEastAsia" w:cstheme="majorBidi"/>
          <w:b/>
          <w:color w:val="73908F" w:themeColor="accent6"/>
          <w:sz w:val="28"/>
          <w:szCs w:val="26"/>
        </w:rPr>
      </w:pPr>
      <w:r w:rsidRPr="0045701E">
        <w:rPr>
          <w:b/>
          <w:shd w:val="clear" w:color="auto" w:fill="FFFFFF"/>
        </w:rPr>
        <w:drawing>
          <wp:anchor distT="0" distB="0" distL="114300" distR="114300" simplePos="0" relativeHeight="251672576" behindDoc="0" locked="0" layoutInCell="1" allowOverlap="1" wp14:anchorId="7D8568FC" wp14:editId="71EA0E85">
            <wp:simplePos x="0" y="0"/>
            <wp:positionH relativeFrom="margin">
              <wp:align>left</wp:align>
            </wp:positionH>
            <wp:positionV relativeFrom="paragraph">
              <wp:posOffset>675640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45701E">
        <w:rPr>
          <w:shd w:val="clear" w:color="auto" w:fill="FFFFFF"/>
        </w:rPr>
        <w:t>The analysis's strengths lay in its comprehensive approach to identifying local health needs and customising interventions. However, it faced limitations in addressing the newly launched NPDCS's recommendations and in navigating the sparse research on NCD policy in India.</w:t>
      </w:r>
    </w:p>
    <w:p w14:paraId="199BC6E3" w14:textId="690BB506" w:rsidR="006711C1" w:rsidRDefault="006711C1" w:rsidP="000E7BAC">
      <w:pPr>
        <w:pStyle w:val="Heading2"/>
        <w:jc w:val="both"/>
      </w:pPr>
      <w:r>
        <w:t>Success factors and challenges</w:t>
      </w:r>
    </w:p>
    <w:p w14:paraId="24DC7662" w14:textId="681A07DF" w:rsidR="0045701E" w:rsidRPr="0045701E" w:rsidRDefault="0045701E" w:rsidP="000E7BAC">
      <w:pPr>
        <w:jc w:val="both"/>
      </w:pPr>
      <w:r>
        <w:rPr>
          <w:rFonts w:ascii="Segoe UI" w:hAnsi="Segoe UI" w:cs="Segoe UI"/>
          <w:color w:val="0D0D0D"/>
          <w:shd w:val="clear" w:color="auto" w:fill="FFFFFF"/>
        </w:rPr>
        <w:t>Key success factors included the integration of behaviour change interventions within family and community frameworks. Challenges encompassed adapting these interventions to the local cultural landscape and addressing prevalent risk factors more effectively.</w:t>
      </w:r>
    </w:p>
    <w:p w14:paraId="4A3FABE0" w14:textId="5920CD0D" w:rsidR="006711C1" w:rsidRDefault="00A704A2" w:rsidP="000E7BAC">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62BE79F5" w14:textId="62CCF7AA" w:rsidR="0045701E" w:rsidRPr="0045701E" w:rsidRDefault="0045701E" w:rsidP="000E7BAC">
      <w:pPr>
        <w:jc w:val="both"/>
      </w:pPr>
      <w:r>
        <w:rPr>
          <w:rFonts w:ascii="Segoe UI" w:hAnsi="Segoe UI" w:cs="Segoe UI"/>
          <w:color w:val="0D0D0D"/>
          <w:shd w:val="clear" w:color="auto" w:fill="FFFFFF"/>
        </w:rPr>
        <w:t>Future directions suggest expanding community empowerment strategies and further integrating the situational analysis findings into broader NCD prevention and control policies, both in Kerala and across India.</w:t>
      </w:r>
    </w:p>
    <w:p w14:paraId="2B7B54B8" w14:textId="7FD168E0" w:rsidR="002F3171" w:rsidRDefault="002F3171" w:rsidP="002F3171">
      <w:pPr>
        <w:pStyle w:val="Heading2"/>
      </w:pPr>
      <w:r>
        <w:t>References</w:t>
      </w:r>
    </w:p>
    <w:p w14:paraId="144FE85D" w14:textId="43DC035C"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 xml:space="preserve">Shaw, J.E., R.A. </w:t>
      </w:r>
      <w:proofErr w:type="spellStart"/>
      <w:r w:rsidRPr="000E7BAC">
        <w:rPr>
          <w:rFonts w:ascii="Segoe UI" w:hAnsi="Segoe UI" w:cs="Segoe UI"/>
          <w:color w:val="0D0D0D"/>
          <w:shd w:val="clear" w:color="auto" w:fill="FFFFFF"/>
        </w:rPr>
        <w:t>Sicree</w:t>
      </w:r>
      <w:proofErr w:type="spellEnd"/>
      <w:r w:rsidRPr="000E7BAC">
        <w:rPr>
          <w:rFonts w:ascii="Segoe UI" w:hAnsi="Segoe UI" w:cs="Segoe UI"/>
          <w:color w:val="0D0D0D"/>
          <w:shd w:val="clear" w:color="auto" w:fill="FFFFFF"/>
        </w:rPr>
        <w:t>, and P.Z. Zimmet, </w:t>
      </w:r>
      <w:r w:rsidRPr="000E7BAC">
        <w:rPr>
          <w:rFonts w:ascii="Segoe UI" w:hAnsi="Segoe UI" w:cs="Segoe UI"/>
          <w:i/>
          <w:iCs/>
          <w:color w:val="0D0D0D"/>
          <w:shd w:val="clear" w:color="auto" w:fill="FFFFFF"/>
        </w:rPr>
        <w:t>Global estimates of the prevalence of diabetes for 2010 and 2030. </w:t>
      </w:r>
      <w:r w:rsidRPr="000E7BAC">
        <w:rPr>
          <w:rFonts w:ascii="Segoe UI" w:hAnsi="Segoe UI" w:cs="Segoe UI"/>
          <w:color w:val="0D0D0D"/>
          <w:shd w:val="clear" w:color="auto" w:fill="FFFFFF"/>
        </w:rPr>
        <w:t xml:space="preserve">Diabetes Res Clin </w:t>
      </w:r>
      <w:proofErr w:type="spellStart"/>
      <w:r w:rsidRPr="000E7BAC">
        <w:rPr>
          <w:rFonts w:ascii="Segoe UI" w:hAnsi="Segoe UI" w:cs="Segoe UI"/>
          <w:color w:val="0D0D0D"/>
          <w:shd w:val="clear" w:color="auto" w:fill="FFFFFF"/>
        </w:rPr>
        <w:t>Pract</w:t>
      </w:r>
      <w:proofErr w:type="spellEnd"/>
      <w:r w:rsidRPr="000E7BAC">
        <w:rPr>
          <w:rFonts w:ascii="Segoe UI" w:hAnsi="Segoe UI" w:cs="Segoe UI"/>
          <w:color w:val="0D0D0D"/>
          <w:shd w:val="clear" w:color="auto" w:fill="FFFFFF"/>
        </w:rPr>
        <w:t>, 2010. 87</w:t>
      </w:r>
      <w:r w:rsidRPr="000E7BAC">
        <w:rPr>
          <w:rFonts w:ascii="Segoe UI" w:hAnsi="Segoe UI" w:cs="Segoe UI"/>
          <w:i/>
          <w:iCs/>
          <w:color w:val="0D0D0D"/>
          <w:shd w:val="clear" w:color="auto" w:fill="FFFFFF"/>
        </w:rPr>
        <w:t>(1)</w:t>
      </w:r>
      <w:r w:rsidRPr="000E7BAC">
        <w:rPr>
          <w:rFonts w:ascii="Segoe UI" w:hAnsi="Segoe UI" w:cs="Segoe UI"/>
          <w:color w:val="0D0D0D"/>
          <w:shd w:val="clear" w:color="auto" w:fill="FFFFFF"/>
        </w:rPr>
        <w:t>: p. 4-14.</w:t>
      </w:r>
    </w:p>
    <w:p w14:paraId="5891FE5E"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Ramachandran, A., R.C. Wan Ma, and C. Snehalatha, </w:t>
      </w:r>
      <w:r w:rsidRPr="000E7BAC">
        <w:rPr>
          <w:rFonts w:ascii="Segoe UI" w:hAnsi="Segoe UI" w:cs="Segoe UI"/>
          <w:i/>
          <w:iCs/>
          <w:color w:val="0D0D0D"/>
          <w:shd w:val="clear" w:color="auto" w:fill="FFFFFF"/>
        </w:rPr>
        <w:t>Diabetes in Asia. </w:t>
      </w:r>
      <w:r w:rsidRPr="000E7BAC">
        <w:rPr>
          <w:rFonts w:ascii="Segoe UI" w:hAnsi="Segoe UI" w:cs="Segoe UI"/>
          <w:color w:val="0D0D0D"/>
          <w:shd w:val="clear" w:color="auto" w:fill="FFFFFF"/>
        </w:rPr>
        <w:t>Lancet, 2009. 375(9712): p. 408-18.</w:t>
      </w:r>
    </w:p>
    <w:p w14:paraId="73D83A08"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Thankappan, K.R., et al., </w:t>
      </w:r>
      <w:r w:rsidRPr="000E7BAC">
        <w:rPr>
          <w:rFonts w:ascii="Segoe UI" w:hAnsi="Segoe UI" w:cs="Segoe UI"/>
          <w:i/>
          <w:iCs/>
          <w:color w:val="0D0D0D"/>
          <w:shd w:val="clear" w:color="auto" w:fill="FFFFFF"/>
        </w:rPr>
        <w:t>Risk factor profile for chronic non-communicable diseases: Results of a community-based study in Kerala, India. </w:t>
      </w:r>
      <w:r w:rsidRPr="000E7BAC">
        <w:rPr>
          <w:rFonts w:ascii="Segoe UI" w:hAnsi="Segoe UI" w:cs="Segoe UI"/>
          <w:color w:val="0D0D0D"/>
          <w:shd w:val="clear" w:color="auto" w:fill="FFFFFF"/>
        </w:rPr>
        <w:t>Indian Journal of Medical Research, 2010. 131: p. 53-63.</w:t>
      </w:r>
    </w:p>
    <w:p w14:paraId="49373599"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Menon, V.U., et al., </w:t>
      </w:r>
      <w:r w:rsidRPr="000E7BAC">
        <w:rPr>
          <w:rFonts w:ascii="Segoe UI" w:hAnsi="Segoe UI" w:cs="Segoe UI"/>
          <w:i/>
          <w:iCs/>
          <w:color w:val="0D0D0D"/>
          <w:shd w:val="clear" w:color="auto" w:fill="FFFFFF"/>
        </w:rPr>
        <w:t>Prevalence of known and undetected diabetes and associated risk factors in central Kerala – ADEPS. </w:t>
      </w:r>
      <w:r w:rsidRPr="000E7BAC">
        <w:rPr>
          <w:rFonts w:ascii="Segoe UI" w:hAnsi="Segoe UI" w:cs="Segoe UI"/>
          <w:color w:val="0D0D0D"/>
          <w:shd w:val="clear" w:color="auto" w:fill="FFFFFF"/>
        </w:rPr>
        <w:t>Diabetes Research and Clinical Practice, 2006. 74</w:t>
      </w:r>
      <w:r w:rsidRPr="000E7BAC">
        <w:rPr>
          <w:rFonts w:ascii="Segoe UI" w:hAnsi="Segoe UI" w:cs="Segoe UI"/>
          <w:i/>
          <w:iCs/>
          <w:color w:val="0D0D0D"/>
          <w:shd w:val="clear" w:color="auto" w:fill="FFFFFF"/>
        </w:rPr>
        <w:t>(3)</w:t>
      </w:r>
      <w:r w:rsidRPr="000E7BAC">
        <w:rPr>
          <w:rFonts w:ascii="Segoe UI" w:hAnsi="Segoe UI" w:cs="Segoe UI"/>
          <w:color w:val="0D0D0D"/>
          <w:shd w:val="clear" w:color="auto" w:fill="FFFFFF"/>
        </w:rPr>
        <w:t>: p. 289-94.</w:t>
      </w:r>
    </w:p>
    <w:p w14:paraId="66100F9D"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Raman, K.V., A. Joseph, and C.R. Soman, </w:t>
      </w:r>
      <w:r w:rsidRPr="000E7BAC">
        <w:rPr>
          <w:rFonts w:ascii="Segoe UI" w:hAnsi="Segoe UI" w:cs="Segoe UI"/>
          <w:i/>
          <w:iCs/>
          <w:color w:val="0D0D0D"/>
          <w:shd w:val="clear" w:color="auto" w:fill="FFFFFF"/>
        </w:rPr>
        <w:t>High prevalence of type 2 diabetes in an urban settlement in Kerala, India. </w:t>
      </w:r>
      <w:r w:rsidRPr="000E7BAC">
        <w:rPr>
          <w:rFonts w:ascii="Segoe UI" w:hAnsi="Segoe UI" w:cs="Segoe UI"/>
          <w:color w:val="0D0D0D"/>
          <w:shd w:val="clear" w:color="auto" w:fill="FFFFFF"/>
        </w:rPr>
        <w:t>Ethnicity and Health, 1999. 4</w:t>
      </w:r>
      <w:r w:rsidRPr="000E7BAC">
        <w:rPr>
          <w:rFonts w:ascii="Segoe UI" w:hAnsi="Segoe UI" w:cs="Segoe UI"/>
          <w:i/>
          <w:iCs/>
          <w:color w:val="0D0D0D"/>
          <w:shd w:val="clear" w:color="auto" w:fill="FFFFFF"/>
        </w:rPr>
        <w:t>(4)</w:t>
      </w:r>
      <w:r w:rsidRPr="000E7BAC">
        <w:rPr>
          <w:rFonts w:ascii="Segoe UI" w:hAnsi="Segoe UI" w:cs="Segoe UI"/>
          <w:color w:val="0D0D0D"/>
          <w:shd w:val="clear" w:color="auto" w:fill="FFFFFF"/>
        </w:rPr>
        <w:t>: p. 231-9.</w:t>
      </w:r>
    </w:p>
    <w:p w14:paraId="1133DC7E"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proofErr w:type="spellStart"/>
      <w:r w:rsidRPr="000E7BAC">
        <w:rPr>
          <w:rFonts w:ascii="Segoe UI" w:hAnsi="Segoe UI" w:cs="Segoe UI"/>
          <w:color w:val="0D0D0D"/>
          <w:shd w:val="clear" w:color="auto" w:fill="FFFFFF"/>
        </w:rPr>
        <w:t>Daivadanam</w:t>
      </w:r>
      <w:proofErr w:type="spellEnd"/>
      <w:r w:rsidRPr="000E7BAC">
        <w:rPr>
          <w:rFonts w:ascii="Segoe UI" w:hAnsi="Segoe UI" w:cs="Segoe UI"/>
          <w:color w:val="0D0D0D"/>
          <w:shd w:val="clear" w:color="auto" w:fill="FFFFFF"/>
        </w:rPr>
        <w:t>, M., et al., </w:t>
      </w:r>
      <w:r w:rsidRPr="000E7BAC">
        <w:rPr>
          <w:rFonts w:ascii="Segoe UI" w:hAnsi="Segoe UI" w:cs="Segoe UI"/>
          <w:i/>
          <w:iCs/>
          <w:color w:val="0D0D0D"/>
          <w:shd w:val="clear" w:color="auto" w:fill="FFFFFF"/>
        </w:rPr>
        <w:t xml:space="preserve">Lifestyle change in Kerala, </w:t>
      </w:r>
      <w:proofErr w:type="gramStart"/>
      <w:r w:rsidRPr="000E7BAC">
        <w:rPr>
          <w:rFonts w:ascii="Segoe UI" w:hAnsi="Segoe UI" w:cs="Segoe UI"/>
          <w:i/>
          <w:iCs/>
          <w:color w:val="0D0D0D"/>
          <w:shd w:val="clear" w:color="auto" w:fill="FFFFFF"/>
        </w:rPr>
        <w:t>India:</w:t>
      </w:r>
      <w:proofErr w:type="gramEnd"/>
      <w:r w:rsidRPr="000E7BAC">
        <w:rPr>
          <w:rFonts w:ascii="Segoe UI" w:hAnsi="Segoe UI" w:cs="Segoe UI"/>
          <w:i/>
          <w:iCs/>
          <w:color w:val="0D0D0D"/>
          <w:shd w:val="clear" w:color="auto" w:fill="FFFFFF"/>
        </w:rPr>
        <w:t xml:space="preserve"> needs assessment and planning for a community-based diabetes prevention trial. </w:t>
      </w:r>
      <w:r w:rsidRPr="000E7BAC">
        <w:rPr>
          <w:rFonts w:ascii="Segoe UI" w:hAnsi="Segoe UI" w:cs="Segoe UI"/>
          <w:color w:val="0D0D0D"/>
          <w:shd w:val="clear" w:color="auto" w:fill="FFFFFF"/>
        </w:rPr>
        <w:t>BMC Public Health, 2013. 13: p. 95.</w:t>
      </w:r>
    </w:p>
    <w:p w14:paraId="0D9E9B2E"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Soman, C.R., et al., </w:t>
      </w:r>
      <w:r w:rsidRPr="000E7BAC">
        <w:rPr>
          <w:rFonts w:ascii="Segoe UI" w:hAnsi="Segoe UI" w:cs="Segoe UI"/>
          <w:i/>
          <w:iCs/>
          <w:color w:val="0D0D0D"/>
          <w:shd w:val="clear" w:color="auto" w:fill="FFFFFF"/>
        </w:rPr>
        <w:t>Cohort profile: the PROLIFE study in Kerala, India. </w:t>
      </w:r>
      <w:r w:rsidRPr="000E7BAC">
        <w:rPr>
          <w:rFonts w:ascii="Segoe UI" w:hAnsi="Segoe UI" w:cs="Segoe UI"/>
          <w:color w:val="0D0D0D"/>
          <w:shd w:val="clear" w:color="auto" w:fill="FFFFFF"/>
        </w:rPr>
        <w:t>Int J Epidemiol, 2011. 40</w:t>
      </w:r>
      <w:r w:rsidRPr="000E7BAC">
        <w:rPr>
          <w:rFonts w:ascii="Segoe UI" w:hAnsi="Segoe UI" w:cs="Segoe UI"/>
          <w:i/>
          <w:iCs/>
          <w:color w:val="0D0D0D"/>
          <w:shd w:val="clear" w:color="auto" w:fill="FFFFFF"/>
        </w:rPr>
        <w:t>(1)</w:t>
      </w:r>
      <w:r w:rsidRPr="000E7BAC">
        <w:rPr>
          <w:rFonts w:ascii="Segoe UI" w:hAnsi="Segoe UI" w:cs="Segoe UI"/>
          <w:color w:val="0D0D0D"/>
          <w:shd w:val="clear" w:color="auto" w:fill="FFFFFF"/>
        </w:rPr>
        <w:t>: p. 10-4.</w:t>
      </w:r>
    </w:p>
    <w:p w14:paraId="18B3D92E"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lastRenderedPageBreak/>
        <w:t>Sugathan, T.N., C.R. Soman, and S. K, </w:t>
      </w:r>
      <w:r w:rsidRPr="000E7BAC">
        <w:rPr>
          <w:rFonts w:ascii="Segoe UI" w:hAnsi="Segoe UI" w:cs="Segoe UI"/>
          <w:i/>
          <w:iCs/>
          <w:color w:val="0D0D0D"/>
          <w:shd w:val="clear" w:color="auto" w:fill="FFFFFF"/>
        </w:rPr>
        <w:t xml:space="preserve">Behavioural risk factors for </w:t>
      </w:r>
      <w:proofErr w:type="spellStart"/>
      <w:r w:rsidRPr="000E7BAC">
        <w:rPr>
          <w:rFonts w:ascii="Segoe UI" w:hAnsi="Segoe UI" w:cs="Segoe UI"/>
          <w:i/>
          <w:iCs/>
          <w:color w:val="0D0D0D"/>
          <w:shd w:val="clear" w:color="auto" w:fill="FFFFFF"/>
        </w:rPr>
        <w:t>non communicable</w:t>
      </w:r>
      <w:proofErr w:type="spellEnd"/>
      <w:r w:rsidRPr="000E7BAC">
        <w:rPr>
          <w:rFonts w:ascii="Segoe UI" w:hAnsi="Segoe UI" w:cs="Segoe UI"/>
          <w:i/>
          <w:iCs/>
          <w:color w:val="0D0D0D"/>
          <w:shd w:val="clear" w:color="auto" w:fill="FFFFFF"/>
        </w:rPr>
        <w:t xml:space="preserve"> diseases among adults in Kerala, India. </w:t>
      </w:r>
      <w:r w:rsidRPr="000E7BAC">
        <w:rPr>
          <w:rFonts w:ascii="Segoe UI" w:hAnsi="Segoe UI" w:cs="Segoe UI"/>
          <w:color w:val="0D0D0D"/>
          <w:shd w:val="clear" w:color="auto" w:fill="FFFFFF"/>
        </w:rPr>
        <w:t>The Indian Journal of Medical Research, 2008. 127</w:t>
      </w:r>
      <w:r w:rsidRPr="000E7BAC">
        <w:rPr>
          <w:rFonts w:ascii="Segoe UI" w:hAnsi="Segoe UI" w:cs="Segoe UI"/>
          <w:i/>
          <w:iCs/>
          <w:color w:val="0D0D0D"/>
          <w:shd w:val="clear" w:color="auto" w:fill="FFFFFF"/>
        </w:rPr>
        <w:t>(6)</w:t>
      </w:r>
      <w:r w:rsidRPr="000E7BAC">
        <w:rPr>
          <w:rFonts w:ascii="Segoe UI" w:hAnsi="Segoe UI" w:cs="Segoe UI"/>
          <w:color w:val="0D0D0D"/>
          <w:shd w:val="clear" w:color="auto" w:fill="FFFFFF"/>
        </w:rPr>
        <w:t>: p. 555- 63.</w:t>
      </w:r>
    </w:p>
    <w:p w14:paraId="469F664B"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Krishnan, A., et al., </w:t>
      </w:r>
      <w:r w:rsidRPr="000E7BAC">
        <w:rPr>
          <w:rFonts w:ascii="Segoe UI" w:hAnsi="Segoe UI" w:cs="Segoe UI"/>
          <w:i/>
          <w:iCs/>
          <w:color w:val="0D0D0D"/>
          <w:shd w:val="clear" w:color="auto" w:fill="FFFFFF"/>
        </w:rPr>
        <w:t>Evaluation of community-based interventions for non-communicable diseases: Experiences from India and Indonesia. </w:t>
      </w:r>
      <w:r w:rsidRPr="000E7BAC">
        <w:rPr>
          <w:rFonts w:ascii="Segoe UI" w:hAnsi="Segoe UI" w:cs="Segoe UI"/>
          <w:color w:val="0D0D0D"/>
          <w:shd w:val="clear" w:color="auto" w:fill="FFFFFF"/>
        </w:rPr>
        <w:t>Health Promotion International, 2011. 26</w:t>
      </w:r>
      <w:r w:rsidRPr="000E7BAC">
        <w:rPr>
          <w:rFonts w:ascii="Segoe UI" w:hAnsi="Segoe UI" w:cs="Segoe UI"/>
          <w:i/>
          <w:iCs/>
          <w:color w:val="0D0D0D"/>
          <w:shd w:val="clear" w:color="auto" w:fill="FFFFFF"/>
        </w:rPr>
        <w:t>(3)</w:t>
      </w:r>
      <w:r w:rsidRPr="000E7BAC">
        <w:rPr>
          <w:rFonts w:ascii="Segoe UI" w:hAnsi="Segoe UI" w:cs="Segoe UI"/>
          <w:color w:val="0D0D0D"/>
          <w:shd w:val="clear" w:color="auto" w:fill="FFFFFF"/>
        </w:rPr>
        <w:t>: p. 276-89.</w:t>
      </w:r>
    </w:p>
    <w:p w14:paraId="6C242801"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Kumar, M.S., P.S. Sarma, and K.R. Thankappan, </w:t>
      </w:r>
      <w:r w:rsidRPr="000E7BAC">
        <w:rPr>
          <w:rFonts w:ascii="Segoe UI" w:hAnsi="Segoe UI" w:cs="Segoe UI"/>
          <w:i/>
          <w:iCs/>
          <w:color w:val="0D0D0D"/>
          <w:shd w:val="clear" w:color="auto" w:fill="FFFFFF"/>
        </w:rPr>
        <w:t>Community-based group intervention for tobacco cessation in rural Tamil Nadu, India: A cluster randomized trial. </w:t>
      </w:r>
      <w:r w:rsidRPr="000E7BAC">
        <w:rPr>
          <w:rFonts w:ascii="Segoe UI" w:hAnsi="Segoe UI" w:cs="Segoe UI"/>
          <w:color w:val="0D0D0D"/>
          <w:shd w:val="clear" w:color="auto" w:fill="FFFFFF"/>
        </w:rPr>
        <w:t>Journal of Substance Abuse Treatment, 2012. 43</w:t>
      </w:r>
      <w:r w:rsidRPr="000E7BAC">
        <w:rPr>
          <w:rFonts w:ascii="Segoe UI" w:hAnsi="Segoe UI" w:cs="Segoe UI"/>
          <w:i/>
          <w:iCs/>
          <w:color w:val="0D0D0D"/>
          <w:shd w:val="clear" w:color="auto" w:fill="FFFFFF"/>
        </w:rPr>
        <w:t>(1)</w:t>
      </w:r>
      <w:r w:rsidRPr="000E7BAC">
        <w:rPr>
          <w:rFonts w:ascii="Segoe UI" w:hAnsi="Segoe UI" w:cs="Segoe UI"/>
          <w:color w:val="0D0D0D"/>
          <w:shd w:val="clear" w:color="auto" w:fill="FFFFFF"/>
        </w:rPr>
        <w:t>: p. 53-60.</w:t>
      </w:r>
    </w:p>
    <w:p w14:paraId="421FA99F" w14:textId="77777777" w:rsidR="0045701E" w:rsidRPr="000E7BAC" w:rsidRDefault="0045701E" w:rsidP="000E7BAC">
      <w:pPr>
        <w:pStyle w:val="ListParagraph"/>
        <w:numPr>
          <w:ilvl w:val="0"/>
          <w:numId w:val="15"/>
        </w:numPr>
        <w:shd w:val="clear" w:color="auto" w:fill="FFFFFF"/>
        <w:spacing w:before="90" w:after="90" w:line="240" w:lineRule="auto"/>
        <w:rPr>
          <w:rFonts w:ascii="Segoe UI" w:hAnsi="Segoe UI" w:cs="Segoe UI"/>
          <w:color w:val="0D0D0D"/>
          <w:shd w:val="clear" w:color="auto" w:fill="FFFFFF"/>
        </w:rPr>
      </w:pPr>
      <w:r w:rsidRPr="000E7BAC">
        <w:rPr>
          <w:rFonts w:ascii="Segoe UI" w:hAnsi="Segoe UI" w:cs="Segoe UI"/>
          <w:color w:val="0D0D0D"/>
          <w:shd w:val="clear" w:color="auto" w:fill="FFFFFF"/>
        </w:rPr>
        <w:t>Mohan, V., et al., </w:t>
      </w:r>
      <w:r w:rsidRPr="000E7BAC">
        <w:rPr>
          <w:rFonts w:ascii="Segoe UI" w:hAnsi="Segoe UI" w:cs="Segoe UI"/>
          <w:i/>
          <w:iCs/>
          <w:color w:val="0D0D0D"/>
          <w:shd w:val="clear" w:color="auto" w:fill="FFFFFF"/>
        </w:rPr>
        <w:t>Community empowerment – A successful model for prevention of noncommunicable diseases in India – The Chennai Urban Population Study (CUPS-17). </w:t>
      </w:r>
      <w:r w:rsidRPr="000E7BAC">
        <w:rPr>
          <w:rFonts w:ascii="Segoe UI" w:hAnsi="Segoe UI" w:cs="Segoe UI"/>
          <w:color w:val="0D0D0D"/>
          <w:shd w:val="clear" w:color="auto" w:fill="FFFFFF"/>
        </w:rPr>
        <w:t>The Journal of the Association of Physicians of India, 2006. 54(858-62).</w:t>
      </w:r>
    </w:p>
    <w:p w14:paraId="1834CA19" w14:textId="53BB0AF5" w:rsidR="00A704A2" w:rsidRPr="0045701E" w:rsidRDefault="00A704A2" w:rsidP="0045701E">
      <w:pPr>
        <w:spacing w:after="120" w:line="240" w:lineRule="auto"/>
        <w:rPr>
          <w:rFonts w:ascii="Segoe UI" w:hAnsi="Segoe UI" w:cs="Segoe UI"/>
          <w:color w:val="0D0D0D"/>
          <w:shd w:val="clear" w:color="auto" w:fill="FFFFFF"/>
        </w:rPr>
      </w:pPr>
    </w:p>
    <w:sectPr w:rsidR="00A704A2" w:rsidRPr="0045701E" w:rsidSect="00B266A0">
      <w:headerReference w:type="default" r:id="rId26"/>
      <w:footerReference w:type="defaul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0A56" w14:textId="77777777" w:rsidR="00B266A0" w:rsidRDefault="00B266A0" w:rsidP="00A33673">
      <w:pPr>
        <w:spacing w:after="0"/>
      </w:pPr>
      <w:r>
        <w:separator/>
      </w:r>
    </w:p>
  </w:endnote>
  <w:endnote w:type="continuationSeparator" w:id="0">
    <w:p w14:paraId="5B768A0F" w14:textId="77777777" w:rsidR="00B266A0" w:rsidRDefault="00B266A0"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52432"/>
      <w:docPartObj>
        <w:docPartGallery w:val="Page Numbers (Bottom of Page)"/>
        <w:docPartUnique/>
      </w:docPartObj>
    </w:sdtPr>
    <w:sdtContent>
      <w:sdt>
        <w:sdtPr>
          <w:id w:val="1728636285"/>
          <w:docPartObj>
            <w:docPartGallery w:val="Page Numbers (Top of Page)"/>
            <w:docPartUnique/>
          </w:docPartObj>
        </w:sdt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8CEA" w14:textId="77777777" w:rsidR="00B266A0" w:rsidRDefault="00B266A0" w:rsidP="00A33673">
      <w:pPr>
        <w:spacing w:after="0"/>
      </w:pPr>
      <w:r>
        <w:separator/>
      </w:r>
    </w:p>
  </w:footnote>
  <w:footnote w:type="continuationSeparator" w:id="0">
    <w:p w14:paraId="61F4AD39" w14:textId="77777777" w:rsidR="00B266A0" w:rsidRDefault="00B266A0"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2226"/>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67413A51" w:rsidR="005C6121" w:rsidRDefault="000E7BAC" w:rsidP="005C6121">
          <w:pPr>
            <w:spacing w:after="0"/>
          </w:pPr>
          <w:r>
            <w:rPr>
              <w:noProof/>
            </w:rPr>
            <w:drawing>
              <wp:inline distT="0" distB="0" distL="0" distR="0" wp14:anchorId="4C672C09" wp14:editId="2D1143B7">
                <wp:extent cx="1271983" cy="508767"/>
                <wp:effectExtent l="0" t="0" r="4445" b="5715"/>
                <wp:docPr id="821111669" name="Picture 1" descr="Monash University | Stud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sh University | Study Options"/>
                        <pic:cNvPicPr>
                          <a:picLocks noChangeAspect="1" noChangeArrowheads="1"/>
                        </pic:cNvPicPr>
                      </pic:nvPicPr>
                      <pic:blipFill>
                        <a:blip r:embed="rId3">
                          <a:alphaModFix amt="35000"/>
                          <a:extLst>
                            <a:ext uri="{28A0092B-C50C-407E-A947-70E740481C1C}">
                              <a14:useLocalDpi xmlns:a14="http://schemas.microsoft.com/office/drawing/2010/main" val="0"/>
                            </a:ext>
                          </a:extLst>
                        </a:blip>
                        <a:srcRect/>
                        <a:stretch>
                          <a:fillRect/>
                        </a:stretch>
                      </pic:blipFill>
                      <pic:spPr bwMode="auto">
                        <a:xfrm>
                          <a:off x="0" y="0"/>
                          <a:ext cx="1284469" cy="513761"/>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A3368"/>
    <w:multiLevelType w:val="hybridMultilevel"/>
    <w:tmpl w:val="A1E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B5A3A"/>
    <w:multiLevelType w:val="hybridMultilevel"/>
    <w:tmpl w:val="1E58730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D3012"/>
    <w:multiLevelType w:val="multilevel"/>
    <w:tmpl w:val="9E8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206342">
    <w:abstractNumId w:val="2"/>
  </w:num>
  <w:num w:numId="2" w16cid:durableId="970399024">
    <w:abstractNumId w:val="4"/>
  </w:num>
  <w:num w:numId="3" w16cid:durableId="721247078">
    <w:abstractNumId w:val="0"/>
  </w:num>
  <w:num w:numId="4" w16cid:durableId="999388781">
    <w:abstractNumId w:val="10"/>
  </w:num>
  <w:num w:numId="5" w16cid:durableId="2002660805">
    <w:abstractNumId w:val="11"/>
  </w:num>
  <w:num w:numId="6" w16cid:durableId="2137410380">
    <w:abstractNumId w:val="13"/>
  </w:num>
  <w:num w:numId="7" w16cid:durableId="1673995019">
    <w:abstractNumId w:val="5"/>
  </w:num>
  <w:num w:numId="8" w16cid:durableId="937253070">
    <w:abstractNumId w:val="3"/>
  </w:num>
  <w:num w:numId="9" w16cid:durableId="944462112">
    <w:abstractNumId w:val="14"/>
  </w:num>
  <w:num w:numId="10" w16cid:durableId="792208235">
    <w:abstractNumId w:val="9"/>
  </w:num>
  <w:num w:numId="11" w16cid:durableId="1481770698">
    <w:abstractNumId w:val="6"/>
  </w:num>
  <w:num w:numId="12" w16cid:durableId="1464275070">
    <w:abstractNumId w:val="8"/>
  </w:num>
  <w:num w:numId="13" w16cid:durableId="1677656110">
    <w:abstractNumId w:val="12"/>
  </w:num>
  <w:num w:numId="14" w16cid:durableId="1675498560">
    <w:abstractNumId w:val="1"/>
  </w:num>
  <w:num w:numId="15" w16cid:durableId="699286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70E5"/>
    <w:rsid w:val="000A2CC7"/>
    <w:rsid w:val="000A6F02"/>
    <w:rsid w:val="000B6AC9"/>
    <w:rsid w:val="000E7BAC"/>
    <w:rsid w:val="001157CA"/>
    <w:rsid w:val="00120F85"/>
    <w:rsid w:val="00133B12"/>
    <w:rsid w:val="0016134C"/>
    <w:rsid w:val="00170FEF"/>
    <w:rsid w:val="00176AB2"/>
    <w:rsid w:val="0018305E"/>
    <w:rsid w:val="00194E78"/>
    <w:rsid w:val="001A3791"/>
    <w:rsid w:val="001E7BD4"/>
    <w:rsid w:val="001F0514"/>
    <w:rsid w:val="001F2D3B"/>
    <w:rsid w:val="0022676B"/>
    <w:rsid w:val="00227894"/>
    <w:rsid w:val="002313D6"/>
    <w:rsid w:val="00233E2F"/>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242A4"/>
    <w:rsid w:val="00331297"/>
    <w:rsid w:val="00335BF4"/>
    <w:rsid w:val="00337E49"/>
    <w:rsid w:val="0034440B"/>
    <w:rsid w:val="003868BC"/>
    <w:rsid w:val="003A0316"/>
    <w:rsid w:val="003C6952"/>
    <w:rsid w:val="003E5C29"/>
    <w:rsid w:val="00404B2F"/>
    <w:rsid w:val="004213DD"/>
    <w:rsid w:val="004370EB"/>
    <w:rsid w:val="0043716B"/>
    <w:rsid w:val="004405BA"/>
    <w:rsid w:val="00456168"/>
    <w:rsid w:val="0045688D"/>
    <w:rsid w:val="0045701E"/>
    <w:rsid w:val="004635B5"/>
    <w:rsid w:val="00464668"/>
    <w:rsid w:val="00476644"/>
    <w:rsid w:val="0048017D"/>
    <w:rsid w:val="004A61EA"/>
    <w:rsid w:val="004A6C2B"/>
    <w:rsid w:val="004C5A23"/>
    <w:rsid w:val="004D2639"/>
    <w:rsid w:val="004D60BF"/>
    <w:rsid w:val="004F58A9"/>
    <w:rsid w:val="0050771A"/>
    <w:rsid w:val="0051576D"/>
    <w:rsid w:val="00521C82"/>
    <w:rsid w:val="0053320B"/>
    <w:rsid w:val="00533453"/>
    <w:rsid w:val="00534C82"/>
    <w:rsid w:val="00550D15"/>
    <w:rsid w:val="0055751F"/>
    <w:rsid w:val="00562062"/>
    <w:rsid w:val="00571F6D"/>
    <w:rsid w:val="00583D07"/>
    <w:rsid w:val="005A016A"/>
    <w:rsid w:val="005A188D"/>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B0C82"/>
    <w:rsid w:val="006B3FD3"/>
    <w:rsid w:val="006B7864"/>
    <w:rsid w:val="006C7032"/>
    <w:rsid w:val="006D1A22"/>
    <w:rsid w:val="006D7938"/>
    <w:rsid w:val="006E00F1"/>
    <w:rsid w:val="006E3686"/>
    <w:rsid w:val="006E37F1"/>
    <w:rsid w:val="006F35A2"/>
    <w:rsid w:val="00703AC8"/>
    <w:rsid w:val="00705C22"/>
    <w:rsid w:val="00706A07"/>
    <w:rsid w:val="0070700B"/>
    <w:rsid w:val="0072352B"/>
    <w:rsid w:val="00725052"/>
    <w:rsid w:val="00736484"/>
    <w:rsid w:val="00753877"/>
    <w:rsid w:val="0076476E"/>
    <w:rsid w:val="00765356"/>
    <w:rsid w:val="00766B3D"/>
    <w:rsid w:val="00777393"/>
    <w:rsid w:val="0078334E"/>
    <w:rsid w:val="0078778E"/>
    <w:rsid w:val="00793E41"/>
    <w:rsid w:val="007A1451"/>
    <w:rsid w:val="007A6893"/>
    <w:rsid w:val="007B473B"/>
    <w:rsid w:val="007B709D"/>
    <w:rsid w:val="007C0D41"/>
    <w:rsid w:val="007D5B09"/>
    <w:rsid w:val="00814F24"/>
    <w:rsid w:val="008225BB"/>
    <w:rsid w:val="00825B88"/>
    <w:rsid w:val="00845D98"/>
    <w:rsid w:val="00855CF6"/>
    <w:rsid w:val="00860D33"/>
    <w:rsid w:val="008613EB"/>
    <w:rsid w:val="008928BF"/>
    <w:rsid w:val="008959B1"/>
    <w:rsid w:val="008A27B0"/>
    <w:rsid w:val="008A2E41"/>
    <w:rsid w:val="008A3393"/>
    <w:rsid w:val="008A5F9F"/>
    <w:rsid w:val="008C4BB4"/>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5494"/>
    <w:rsid w:val="00AC74A1"/>
    <w:rsid w:val="00AD55D4"/>
    <w:rsid w:val="00AD684A"/>
    <w:rsid w:val="00AE092E"/>
    <w:rsid w:val="00AE0BF1"/>
    <w:rsid w:val="00AE3D1D"/>
    <w:rsid w:val="00B03D09"/>
    <w:rsid w:val="00B12DBF"/>
    <w:rsid w:val="00B17235"/>
    <w:rsid w:val="00B23276"/>
    <w:rsid w:val="00B266A0"/>
    <w:rsid w:val="00B31BA8"/>
    <w:rsid w:val="00B40019"/>
    <w:rsid w:val="00B4701B"/>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57BF4"/>
    <w:rsid w:val="00C646C4"/>
    <w:rsid w:val="00CA529D"/>
    <w:rsid w:val="00CB67F7"/>
    <w:rsid w:val="00CD238B"/>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3326"/>
    <w:rsid w:val="00D90B19"/>
    <w:rsid w:val="00D92B3E"/>
    <w:rsid w:val="00DA3115"/>
    <w:rsid w:val="00DA3838"/>
    <w:rsid w:val="00DE2EF2"/>
    <w:rsid w:val="00DF1B0C"/>
    <w:rsid w:val="00DF68E7"/>
    <w:rsid w:val="00DF6E3D"/>
    <w:rsid w:val="00E058BE"/>
    <w:rsid w:val="00E10BBC"/>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C20AF"/>
    <w:rsid w:val="00ED43FE"/>
    <w:rsid w:val="00ED4B04"/>
    <w:rsid w:val="00EE3F21"/>
    <w:rsid w:val="00EE5554"/>
    <w:rsid w:val="00F30AE0"/>
    <w:rsid w:val="00F3285C"/>
    <w:rsid w:val="00F32A9D"/>
    <w:rsid w:val="00F33829"/>
    <w:rsid w:val="00F411F7"/>
    <w:rsid w:val="00F516E3"/>
    <w:rsid w:val="00F5736B"/>
    <w:rsid w:val="00F67C6F"/>
    <w:rsid w:val="00F7197C"/>
    <w:rsid w:val="00F71CFC"/>
    <w:rsid w:val="00F8610A"/>
    <w:rsid w:val="00F91284"/>
    <w:rsid w:val="00FB1542"/>
    <w:rsid w:val="00FB7A22"/>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character" w:styleId="Emphasis">
    <w:name w:val="Emphasis"/>
    <w:basedOn w:val="DefaultParagraphFont"/>
    <w:uiPriority w:val="20"/>
    <w:qFormat/>
    <w:rsid w:val="00457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7150">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9.jpeg"/><Relationship Id="rId2" Type="http://schemas.openxmlformats.org/officeDocument/2006/relationships/image" Target="media/image18.png"/><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644-07C9-44E5-902F-34974DCA9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GACD template - Word</Template>
  <TotalTime>20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3</cp:revision>
  <cp:lastPrinted>2024-03-19T14:45:00Z</cp:lastPrinted>
  <dcterms:created xsi:type="dcterms:W3CDTF">2024-03-05T08:48:00Z</dcterms:created>
  <dcterms:modified xsi:type="dcterms:W3CDTF">2024-03-19T14:45:00Z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